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4" w:rsidRPr="00674BA4" w:rsidRDefault="00674BA4" w:rsidP="00674BA4">
      <w:pPr>
        <w:spacing w:line="300" w:lineRule="auto"/>
        <w:jc w:val="center"/>
        <w:rPr>
          <w:rFonts w:ascii="Goudy Old Style" w:eastAsia="華康楷書體W3" w:hAnsi="Goudy Old Style"/>
          <w:b/>
          <w:sz w:val="28"/>
          <w:szCs w:val="28"/>
        </w:rPr>
      </w:pPr>
      <w:r w:rsidRPr="00674BA4">
        <w:rPr>
          <w:rFonts w:ascii="Goudy Old Style" w:eastAsia="華康楷書體W3" w:hAnsi="Goudy Old Style"/>
          <w:b/>
          <w:sz w:val="28"/>
          <w:szCs w:val="28"/>
        </w:rPr>
        <w:t>歐洲人權公約與自由選舉權</w:t>
      </w:r>
    </w:p>
    <w:p w:rsidR="00674BA4" w:rsidRPr="00674BA4" w:rsidRDefault="00674BA4" w:rsidP="00674BA4">
      <w:pPr>
        <w:spacing w:line="300" w:lineRule="auto"/>
        <w:ind w:firstLineChars="200" w:firstLine="480"/>
        <w:jc w:val="both"/>
        <w:rPr>
          <w:rFonts w:ascii="Goudy Old Style" w:eastAsia="華康楷書體W3" w:hAnsi="Goudy Old Style"/>
          <w:szCs w:val="24"/>
        </w:rPr>
      </w:pPr>
    </w:p>
    <w:p w:rsidR="00674BA4" w:rsidRPr="00674BA4" w:rsidRDefault="00674BA4" w:rsidP="00674BA4">
      <w:pPr>
        <w:spacing w:line="300" w:lineRule="auto"/>
        <w:ind w:firstLineChars="200" w:firstLine="480"/>
        <w:jc w:val="both"/>
        <w:rPr>
          <w:rFonts w:ascii="Goudy Old Style" w:eastAsia="華康楷書體W3" w:hAnsi="Goudy Old Style"/>
          <w:szCs w:val="24"/>
        </w:rPr>
      </w:pPr>
      <w:r w:rsidRPr="00674BA4">
        <w:rPr>
          <w:rFonts w:ascii="Goudy Old Style" w:eastAsia="華康楷書體W3" w:hAnsi="Goudy Old Style"/>
          <w:szCs w:val="24"/>
        </w:rPr>
        <w:t>「歐洲人權公約第一議定書」第</w:t>
      </w:r>
      <w:r w:rsidRPr="00674BA4">
        <w:rPr>
          <w:rFonts w:ascii="Goudy Old Style" w:eastAsia="華康楷書體W3" w:hAnsi="Goudy Old Style"/>
          <w:szCs w:val="24"/>
        </w:rPr>
        <w:t>3</w:t>
      </w:r>
      <w:r w:rsidRPr="00674BA4">
        <w:rPr>
          <w:rFonts w:ascii="Goudy Old Style" w:eastAsia="華康楷書體W3" w:hAnsi="Goudy Old Style"/>
          <w:szCs w:val="24"/>
        </w:rPr>
        <w:t>條規定如下：</w:t>
      </w:r>
    </w:p>
    <w:p w:rsidR="007657F4" w:rsidRDefault="007657F4" w:rsidP="00674BA4">
      <w:pPr>
        <w:spacing w:line="300" w:lineRule="auto"/>
        <w:ind w:leftChars="200" w:left="480" w:rightChars="200" w:right="480"/>
        <w:jc w:val="both"/>
        <w:rPr>
          <w:rFonts w:ascii="華康仿宋體W4(P)" w:eastAsia="華康仿宋體W4(P)" w:hAnsi="Goudy Old Style"/>
          <w:b/>
          <w:szCs w:val="24"/>
        </w:rPr>
      </w:pPr>
    </w:p>
    <w:p w:rsidR="00674BA4" w:rsidRPr="000D0299" w:rsidRDefault="00674BA4" w:rsidP="00674BA4">
      <w:pPr>
        <w:spacing w:line="300" w:lineRule="auto"/>
        <w:ind w:leftChars="200" w:left="480" w:rightChars="200" w:right="480"/>
        <w:jc w:val="both"/>
        <w:rPr>
          <w:rFonts w:asciiTheme="minorEastAsia" w:hAnsiTheme="minorEastAsia"/>
          <w:b/>
          <w:szCs w:val="24"/>
        </w:rPr>
      </w:pPr>
      <w:r w:rsidRPr="000D0299">
        <w:rPr>
          <w:rFonts w:asciiTheme="minorEastAsia" w:hAnsiTheme="minorEastAsia" w:hint="eastAsia"/>
          <w:b/>
          <w:szCs w:val="24"/>
        </w:rPr>
        <w:t>各會員國致力於合理期限內定期舉行以</w:t>
      </w:r>
      <w:proofErr w:type="gramStart"/>
      <w:r w:rsidRPr="000D0299">
        <w:rPr>
          <w:rFonts w:asciiTheme="minorEastAsia" w:hAnsiTheme="minorEastAsia" w:hint="eastAsia"/>
          <w:b/>
          <w:szCs w:val="24"/>
        </w:rPr>
        <w:t>祕</w:t>
      </w:r>
      <w:proofErr w:type="gramEnd"/>
      <w:r w:rsidRPr="000D0299">
        <w:rPr>
          <w:rFonts w:asciiTheme="minorEastAsia" w:hAnsiTheme="minorEastAsia" w:hint="eastAsia"/>
          <w:b/>
          <w:szCs w:val="24"/>
        </w:rPr>
        <w:t>密投票方式之自由選舉，此選舉應於確保人民自由表達意見以選擇立法機關之前提進行之。</w:t>
      </w:r>
    </w:p>
    <w:p w:rsidR="00097A09" w:rsidRDefault="00097A09" w:rsidP="00674BA4">
      <w:pPr>
        <w:spacing w:line="300" w:lineRule="auto"/>
        <w:ind w:firstLineChars="200" w:firstLine="480"/>
        <w:jc w:val="both"/>
        <w:rPr>
          <w:rFonts w:ascii="Goudy Old Style" w:eastAsia="華康楷書體W3" w:hAnsi="Goudy Old Style" w:cs="Times New Roman"/>
          <w:szCs w:val="24"/>
        </w:rPr>
      </w:pP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「歐洲人權公約第一議定書」第</w:t>
      </w:r>
      <w:r w:rsidRPr="00674BA4">
        <w:rPr>
          <w:rFonts w:ascii="Goudy Old Style" w:eastAsia="華康楷書體W3" w:hAnsi="Goudy Old Style" w:cs="Times New Roman"/>
          <w:szCs w:val="24"/>
        </w:rPr>
        <w:t>3</w:t>
      </w:r>
      <w:r w:rsidRPr="00674BA4">
        <w:rPr>
          <w:rFonts w:ascii="Goudy Old Style" w:eastAsia="華康楷書體W3" w:hAnsi="Goudy Old Style" w:cs="Times New Roman"/>
          <w:szCs w:val="24"/>
        </w:rPr>
        <w:t>條認為所謂自由選舉必需：</w:t>
      </w:r>
      <w:r w:rsidRPr="00674BA4">
        <w:rPr>
          <w:rFonts w:ascii="Goudy Old Style" w:eastAsia="華康楷書體W3" w:hAnsi="Goudy Old Style" w:cs="Times New Roman"/>
          <w:szCs w:val="24"/>
        </w:rPr>
        <w:t>(1)</w:t>
      </w:r>
      <w:r w:rsidRPr="00674BA4">
        <w:rPr>
          <w:rFonts w:ascii="Goudy Old Style" w:eastAsia="華康楷書體W3" w:hAnsi="Goudy Old Style" w:cs="Times New Roman"/>
          <w:szCs w:val="24"/>
        </w:rPr>
        <w:t>在合理期限內定期舉行；</w:t>
      </w:r>
      <w:r w:rsidRPr="00674BA4">
        <w:rPr>
          <w:rFonts w:ascii="Goudy Old Style" w:eastAsia="華康楷書體W3" w:hAnsi="Goudy Old Style" w:cs="Times New Roman"/>
          <w:szCs w:val="24"/>
        </w:rPr>
        <w:t>(2)</w:t>
      </w:r>
      <w:r w:rsidRPr="00674BA4">
        <w:rPr>
          <w:rFonts w:ascii="Goudy Old Style" w:eastAsia="華康楷書體W3" w:hAnsi="Goudy Old Style" w:cs="Times New Roman"/>
          <w:szCs w:val="24"/>
        </w:rPr>
        <w:t>以</w:t>
      </w:r>
      <w:proofErr w:type="gramStart"/>
      <w:r w:rsidRPr="00674BA4">
        <w:rPr>
          <w:rFonts w:ascii="Goudy Old Style" w:eastAsia="華康楷書體W3" w:hAnsi="Goudy Old Style" w:cs="Times New Roman"/>
          <w:szCs w:val="24"/>
        </w:rPr>
        <w:t>祕</w:t>
      </w:r>
      <w:proofErr w:type="gramEnd"/>
      <w:r w:rsidRPr="00674BA4">
        <w:rPr>
          <w:rFonts w:ascii="Goudy Old Style" w:eastAsia="華康楷書體W3" w:hAnsi="Goudy Old Style" w:cs="Times New Roman"/>
          <w:szCs w:val="24"/>
        </w:rPr>
        <w:t>密投票方式進行；</w:t>
      </w:r>
      <w:r w:rsidRPr="00674BA4">
        <w:rPr>
          <w:rFonts w:ascii="Goudy Old Style" w:eastAsia="華康楷書體W3" w:hAnsi="Goudy Old Style" w:cs="Times New Roman"/>
          <w:szCs w:val="24"/>
        </w:rPr>
        <w:t>(3)</w:t>
      </w:r>
      <w:r w:rsidRPr="00674BA4">
        <w:rPr>
          <w:rFonts w:ascii="Goudy Old Style" w:eastAsia="華康楷書體W3" w:hAnsi="Goudy Old Style" w:cs="Times New Roman"/>
          <w:szCs w:val="24"/>
        </w:rPr>
        <w:t>以確保人民自由表達意見為前提；</w:t>
      </w:r>
      <w:r w:rsidRPr="00674BA4">
        <w:rPr>
          <w:rFonts w:ascii="Goudy Old Style" w:eastAsia="華康楷書體W3" w:hAnsi="Goudy Old Style" w:cs="Times New Roman"/>
          <w:szCs w:val="24"/>
        </w:rPr>
        <w:t>(4)</w:t>
      </w:r>
      <w:r w:rsidRPr="00674BA4">
        <w:rPr>
          <w:rFonts w:ascii="Goudy Old Style" w:eastAsia="華康楷書體W3" w:hAnsi="Goudy Old Style" w:cs="Times New Roman"/>
          <w:szCs w:val="24"/>
        </w:rPr>
        <w:t>此選舉必需是「自由」的選舉。歐洲人權法院認為這些要件是「歐洲人權公約第一議定書」第</w:t>
      </w:r>
      <w:r w:rsidRPr="00674BA4">
        <w:rPr>
          <w:rFonts w:ascii="Goudy Old Style" w:eastAsia="華康楷書體W3" w:hAnsi="Goudy Old Style" w:cs="Times New Roman"/>
          <w:szCs w:val="24"/>
        </w:rPr>
        <w:t>3</w:t>
      </w:r>
      <w:r w:rsidRPr="00674BA4">
        <w:rPr>
          <w:rFonts w:ascii="Goudy Old Style" w:eastAsia="華康楷書體W3" w:hAnsi="Goudy Old Style" w:cs="Times New Roman"/>
          <w:szCs w:val="24"/>
        </w:rPr>
        <w:t>條對各會員國的唯一要求，因此各會員國並無義務引</w:t>
      </w:r>
      <w:proofErr w:type="gramStart"/>
      <w:r w:rsidRPr="00674BA4">
        <w:rPr>
          <w:rFonts w:ascii="Goudy Old Style" w:eastAsia="華康楷書體W3" w:hAnsi="Goudy Old Style" w:cs="Times New Roman"/>
          <w:szCs w:val="24"/>
        </w:rPr>
        <w:t>介</w:t>
      </w:r>
      <w:proofErr w:type="gramEnd"/>
      <w:r w:rsidRPr="00674BA4">
        <w:rPr>
          <w:rFonts w:ascii="Goudy Old Style" w:eastAsia="華康楷書體W3" w:hAnsi="Goudy Old Style" w:cs="Times New Roman"/>
          <w:szCs w:val="24"/>
        </w:rPr>
        <w:t>某一特別制度</w:t>
      </w:r>
      <w:r w:rsidRPr="00674BA4">
        <w:rPr>
          <w:rFonts w:ascii="Goudy Old Style" w:eastAsia="華康楷書體W3" w:hAnsi="Goudy Old Style" w:cs="Times New Roman"/>
          <w:szCs w:val="24"/>
          <w:vertAlign w:val="superscript"/>
        </w:rPr>
        <w:footnoteReference w:id="1"/>
      </w:r>
      <w:r w:rsidRPr="00674BA4">
        <w:rPr>
          <w:rFonts w:ascii="Goudy Old Style" w:eastAsia="華康楷書體W3" w:hAnsi="Goudy Old Style" w:cs="Times New Roman"/>
          <w:szCs w:val="24"/>
        </w:rPr>
        <w:t>，例如比例代表制或一次或兩次多數決制度，選舉制度應依各有關國家之政治發展衡量之，只要所選擇的制度能夠確保「人民在選擇立法機關時能自由表達意見」</w:t>
      </w:r>
      <w:r w:rsidRPr="00674BA4">
        <w:rPr>
          <w:rFonts w:ascii="Goudy Old Style" w:eastAsia="華康楷書體W3" w:hAnsi="Goudy Old Style" w:cs="Times New Roman"/>
          <w:szCs w:val="24"/>
          <w:vertAlign w:val="superscript"/>
        </w:rPr>
        <w:footnoteReference w:id="2"/>
      </w:r>
      <w:r w:rsidRPr="00674BA4">
        <w:rPr>
          <w:rFonts w:ascii="Goudy Old Style" w:eastAsia="華康楷書體W3" w:hAnsi="Goudy Old Style" w:cs="Times New Roman"/>
          <w:szCs w:val="24"/>
        </w:rPr>
        <w:t>。歐洲人權法院認為所謂「確保人民在選擇立法機關時能自由表達意見」，一方面強調人民的表達自由權，另一方面其認為以平等原則（</w:t>
      </w:r>
      <w:r w:rsidRPr="00674BA4">
        <w:rPr>
          <w:rFonts w:ascii="Goudy Old Style" w:eastAsia="華康楷書體W3" w:hAnsi="Goudy Old Style" w:cs="Times New Roman"/>
          <w:szCs w:val="24"/>
        </w:rPr>
        <w:t>principle of equality</w:t>
      </w:r>
      <w:r w:rsidRPr="00674BA4">
        <w:rPr>
          <w:rFonts w:ascii="Goudy Old Style" w:eastAsia="華康楷書體W3" w:hAnsi="Goudy Old Style" w:cs="Times New Roman"/>
          <w:szCs w:val="24"/>
        </w:rPr>
        <w:t>）對待所有行使選舉權及被選舉權也是必要的。但是歐洲人權法院也認為，平等原則並非指所有投票都必然對選舉結果有相同影響力，或是任何</w:t>
      </w:r>
      <w:proofErr w:type="gramStart"/>
      <w:r w:rsidRPr="00674BA4">
        <w:rPr>
          <w:rFonts w:ascii="Goudy Old Style" w:eastAsia="華康楷書體W3" w:hAnsi="Goudy Old Style" w:cs="Times New Roman"/>
          <w:szCs w:val="24"/>
        </w:rPr>
        <w:t>候選人均有相同</w:t>
      </w:r>
      <w:proofErr w:type="gramEnd"/>
      <w:r w:rsidRPr="00674BA4">
        <w:rPr>
          <w:rFonts w:ascii="Goudy Old Style" w:eastAsia="華康楷書體W3" w:hAnsi="Goudy Old Style" w:cs="Times New Roman"/>
          <w:szCs w:val="24"/>
        </w:rPr>
        <w:t>勝選之機會；因為沒有一種選舉制度可以消除浪費票之情況</w:t>
      </w:r>
      <w:r w:rsidRPr="00674BA4">
        <w:rPr>
          <w:rFonts w:ascii="Goudy Old Style" w:eastAsia="華康楷書體W3" w:hAnsi="Goudy Old Style" w:cs="Times New Roman"/>
          <w:szCs w:val="24"/>
          <w:vertAlign w:val="superscript"/>
        </w:rPr>
        <w:footnoteReference w:id="3"/>
      </w:r>
      <w:r w:rsidRPr="00674BA4">
        <w:rPr>
          <w:rFonts w:ascii="Goudy Old Style" w:eastAsia="華康楷書體W3" w:hAnsi="Goudy Old Style" w:cs="Times New Roman"/>
          <w:szCs w:val="24"/>
        </w:rPr>
        <w:t>。</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然而歐洲人權法院所審理之案件重點不是在某一選舉是否於「合理期限」內</w:t>
      </w:r>
      <w:r w:rsidRPr="00674BA4">
        <w:rPr>
          <w:rFonts w:ascii="Goudy Old Style" w:eastAsia="華康楷書體W3" w:hAnsi="Goudy Old Style" w:cs="Times New Roman"/>
          <w:szCs w:val="24"/>
        </w:rPr>
        <w:lastRenderedPageBreak/>
        <w:t>「定期舉行」</w:t>
      </w:r>
      <w:r w:rsidRPr="00674BA4">
        <w:rPr>
          <w:rFonts w:ascii="Goudy Old Style" w:eastAsia="華康楷書體W3" w:hAnsi="Goudy Old Style" w:cs="Times New Roman"/>
          <w:szCs w:val="24"/>
          <w:vertAlign w:val="superscript"/>
        </w:rPr>
        <w:footnoteReference w:id="4"/>
      </w:r>
      <w:r w:rsidRPr="00674BA4">
        <w:rPr>
          <w:rFonts w:ascii="Goudy Old Style" w:eastAsia="華康楷書體W3" w:hAnsi="Goudy Old Style" w:cs="Times New Roman"/>
          <w:szCs w:val="24"/>
        </w:rPr>
        <w:t>，或是以「</w:t>
      </w:r>
      <w:proofErr w:type="gramStart"/>
      <w:r w:rsidRPr="00674BA4">
        <w:rPr>
          <w:rFonts w:ascii="Goudy Old Style" w:eastAsia="華康楷書體W3" w:hAnsi="Goudy Old Style" w:cs="Times New Roman"/>
          <w:szCs w:val="24"/>
        </w:rPr>
        <w:t>祕</w:t>
      </w:r>
      <w:proofErr w:type="gramEnd"/>
      <w:r w:rsidRPr="00674BA4">
        <w:rPr>
          <w:rFonts w:ascii="Goudy Old Style" w:eastAsia="華康楷書體W3" w:hAnsi="Goudy Old Style" w:cs="Times New Roman"/>
          <w:szCs w:val="24"/>
        </w:rPr>
        <w:t>密投票」之方式舉行，各案件的重點是選舉是否是自由選舉及選舉是否確保人民的自由表達意見權利。以下即從選舉人、候選人及第三人參與選舉三個層面論述所謂「自由選舉」及確保人民表達自由選舉之內涵。</w:t>
      </w:r>
    </w:p>
    <w:p w:rsidR="00674BA4" w:rsidRPr="00674BA4" w:rsidRDefault="00674BA4" w:rsidP="00674BA4">
      <w:pPr>
        <w:spacing w:line="300" w:lineRule="auto"/>
        <w:ind w:firstLineChars="200" w:firstLine="480"/>
        <w:jc w:val="both"/>
        <w:rPr>
          <w:rFonts w:ascii="Goudy Old Style" w:eastAsia="華康楷書體W3" w:hAnsi="Goudy Old Style" w:cs="Times New Roman"/>
          <w:b/>
          <w:szCs w:val="24"/>
        </w:rPr>
      </w:pPr>
      <w:r w:rsidRPr="00674BA4">
        <w:rPr>
          <w:rFonts w:ascii="Goudy Old Style" w:eastAsia="華康楷書體W3" w:hAnsi="Goudy Old Style" w:cs="Times New Roman"/>
          <w:b/>
          <w:szCs w:val="24"/>
        </w:rPr>
        <w:t>一、選舉權</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在</w:t>
      </w:r>
      <w:proofErr w:type="spellStart"/>
      <w:r w:rsidRPr="00674BA4">
        <w:rPr>
          <w:rFonts w:ascii="Goudy Old Style" w:eastAsia="華康楷書體W3" w:hAnsi="Goudy Old Style" w:cs="Times New Roman"/>
          <w:i/>
          <w:szCs w:val="24"/>
        </w:rPr>
        <w:t>Hilbe</w:t>
      </w:r>
      <w:proofErr w:type="spellEnd"/>
      <w:r w:rsidRPr="00674BA4">
        <w:rPr>
          <w:rFonts w:ascii="Goudy Old Style" w:eastAsia="華康楷書體W3" w:hAnsi="Goudy Old Style" w:cs="Times New Roman"/>
          <w:i/>
          <w:szCs w:val="24"/>
        </w:rPr>
        <w:t xml:space="preserve"> v. Liechtenstein</w:t>
      </w:r>
      <w:r w:rsidRPr="00674BA4">
        <w:rPr>
          <w:rFonts w:ascii="Goudy Old Style" w:eastAsia="華康楷書體W3" w:hAnsi="Goudy Old Style" w:cs="Times New Roman"/>
          <w:szCs w:val="24"/>
          <w:vertAlign w:val="superscript"/>
        </w:rPr>
        <w:t xml:space="preserve"> </w:t>
      </w:r>
      <w:r w:rsidRPr="00674BA4">
        <w:rPr>
          <w:rFonts w:ascii="Goudy Old Style" w:eastAsia="華康楷書體W3" w:hAnsi="Goudy Old Style" w:cs="Times New Roman"/>
          <w:szCs w:val="24"/>
          <w:vertAlign w:val="superscript"/>
        </w:rPr>
        <w:footnoteReference w:id="5"/>
      </w:r>
      <w:r w:rsidRPr="00674BA4">
        <w:rPr>
          <w:rFonts w:ascii="Goudy Old Style" w:eastAsia="華康楷書體W3" w:hAnsi="Goudy Old Style" w:cs="Times New Roman"/>
          <w:szCs w:val="24"/>
        </w:rPr>
        <w:t>一案中，</w:t>
      </w:r>
      <w:proofErr w:type="spellStart"/>
      <w:r w:rsidRPr="00674BA4">
        <w:rPr>
          <w:rFonts w:ascii="Goudy Old Style" w:eastAsia="華康楷書體W3" w:hAnsi="Goudy Old Style" w:cs="Times New Roman"/>
          <w:szCs w:val="24"/>
        </w:rPr>
        <w:t>Hilbe</w:t>
      </w:r>
      <w:proofErr w:type="spellEnd"/>
      <w:r w:rsidRPr="00674BA4">
        <w:rPr>
          <w:rFonts w:ascii="Goudy Old Style" w:eastAsia="華康楷書體W3" w:hAnsi="Goudy Old Style" w:cs="Times New Roman"/>
          <w:szCs w:val="24"/>
        </w:rPr>
        <w:t>先生是</w:t>
      </w:r>
      <w:r w:rsidRPr="00674BA4">
        <w:rPr>
          <w:rFonts w:ascii="Goudy Old Style" w:eastAsia="華康楷書體W3" w:hAnsi="Goudy Old Style" w:cs="Times New Roman"/>
          <w:szCs w:val="24"/>
        </w:rPr>
        <w:t>Liechtenstein</w:t>
      </w:r>
      <w:r w:rsidRPr="00674BA4">
        <w:rPr>
          <w:rFonts w:ascii="Goudy Old Style" w:eastAsia="華康楷書體W3" w:hAnsi="Goudy Old Style" w:cs="Times New Roman"/>
          <w:szCs w:val="24"/>
        </w:rPr>
        <w:t>國民，但是居住在</w:t>
      </w:r>
      <w:r w:rsidRPr="00674BA4">
        <w:rPr>
          <w:rFonts w:ascii="Goudy Old Style" w:eastAsia="華康楷書體W3" w:hAnsi="Goudy Old Style" w:cs="Times New Roman"/>
          <w:szCs w:val="24"/>
        </w:rPr>
        <w:t>Switzerland</w:t>
      </w:r>
      <w:r w:rsidRPr="00674BA4">
        <w:rPr>
          <w:rFonts w:ascii="Goudy Old Style" w:eastAsia="華康楷書體W3" w:hAnsi="Goudy Old Style" w:cs="Times New Roman"/>
          <w:szCs w:val="24"/>
        </w:rPr>
        <w:t>，</w:t>
      </w:r>
      <w:r w:rsidRPr="00674BA4">
        <w:rPr>
          <w:rFonts w:ascii="Goudy Old Style" w:eastAsia="華康楷書體W3" w:hAnsi="Goudy Old Style" w:cs="Times New Roman"/>
          <w:szCs w:val="24"/>
        </w:rPr>
        <w:t>1995</w:t>
      </w:r>
      <w:r w:rsidRPr="00674BA4">
        <w:rPr>
          <w:rFonts w:ascii="Goudy Old Style" w:eastAsia="華康楷書體W3" w:hAnsi="Goudy Old Style" w:cs="Times New Roman"/>
          <w:szCs w:val="24"/>
        </w:rPr>
        <w:t>年</w:t>
      </w:r>
      <w:r w:rsidRPr="00674BA4">
        <w:rPr>
          <w:rFonts w:ascii="Goudy Old Style" w:eastAsia="華康楷書體W3" w:hAnsi="Goudy Old Style" w:cs="Times New Roman"/>
          <w:szCs w:val="24"/>
        </w:rPr>
        <w:t>3</w:t>
      </w:r>
      <w:r w:rsidRPr="00674BA4">
        <w:rPr>
          <w:rFonts w:ascii="Goudy Old Style" w:eastAsia="華康楷書體W3" w:hAnsi="Goudy Old Style" w:cs="Times New Roman"/>
          <w:szCs w:val="24"/>
        </w:rPr>
        <w:t>月時他申請登記參與地區選舉及公民</w:t>
      </w:r>
      <w:proofErr w:type="gramStart"/>
      <w:r w:rsidRPr="00674BA4">
        <w:rPr>
          <w:rFonts w:ascii="Goudy Old Style" w:eastAsia="華康楷書體W3" w:hAnsi="Goudy Old Style" w:cs="Times New Roman"/>
          <w:szCs w:val="24"/>
        </w:rPr>
        <w:t>複</w:t>
      </w:r>
      <w:proofErr w:type="gramEnd"/>
      <w:r w:rsidRPr="00674BA4">
        <w:rPr>
          <w:rFonts w:ascii="Goudy Old Style" w:eastAsia="華康楷書體W3" w:hAnsi="Goudy Old Style" w:cs="Times New Roman"/>
          <w:szCs w:val="24"/>
        </w:rPr>
        <w:t>決投票，但是當地政府認為依據</w:t>
      </w:r>
      <w:r w:rsidRPr="00674BA4">
        <w:rPr>
          <w:rFonts w:ascii="Goudy Old Style" w:eastAsia="華康楷書體W3" w:hAnsi="Goudy Old Style" w:cs="Times New Roman"/>
          <w:szCs w:val="24"/>
        </w:rPr>
        <w:t>Liechtenstein</w:t>
      </w:r>
      <w:r w:rsidRPr="00674BA4">
        <w:rPr>
          <w:rFonts w:ascii="Goudy Old Style" w:eastAsia="華康楷書體W3" w:hAnsi="Goudy Old Style" w:cs="Times New Roman"/>
          <w:szCs w:val="24"/>
        </w:rPr>
        <w:t>法律規定，其國民必需滿</w:t>
      </w:r>
      <w:r w:rsidRPr="00674BA4">
        <w:rPr>
          <w:rFonts w:ascii="Goudy Old Style" w:eastAsia="華康楷書體W3" w:hAnsi="Goudy Old Style" w:cs="Times New Roman"/>
          <w:szCs w:val="24"/>
        </w:rPr>
        <w:t>20</w:t>
      </w:r>
      <w:r w:rsidRPr="00674BA4">
        <w:rPr>
          <w:rFonts w:ascii="Goudy Old Style" w:eastAsia="華康楷書體W3" w:hAnsi="Goudy Old Style" w:cs="Times New Roman"/>
          <w:szCs w:val="24"/>
        </w:rPr>
        <w:t>歲以上，且投票</w:t>
      </w:r>
      <w:r w:rsidRPr="00674BA4">
        <w:rPr>
          <w:rFonts w:ascii="Goudy Old Style" w:eastAsia="華康楷書體W3" w:hAnsi="Goudy Old Style" w:cs="Times New Roman"/>
          <w:szCs w:val="24"/>
        </w:rPr>
        <w:t>1</w:t>
      </w:r>
      <w:r w:rsidRPr="00674BA4">
        <w:rPr>
          <w:rFonts w:ascii="Goudy Old Style" w:eastAsia="華康楷書體W3" w:hAnsi="Goudy Old Style" w:cs="Times New Roman"/>
          <w:szCs w:val="24"/>
        </w:rPr>
        <w:t>個月前居住於國內才可參加投票。申請人因此喪失投</w:t>
      </w:r>
      <w:bookmarkStart w:id="0" w:name="_GoBack"/>
      <w:bookmarkEnd w:id="0"/>
      <w:r w:rsidRPr="00674BA4">
        <w:rPr>
          <w:rFonts w:ascii="Goudy Old Style" w:eastAsia="華康楷書體W3" w:hAnsi="Goudy Old Style" w:cs="Times New Roman"/>
          <w:szCs w:val="24"/>
        </w:rPr>
        <w:t>票權，申請人認為此決定違反其自由選舉權。</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首先歐洲人權法院認為，雖然「歐洲人權公約第一議定書」到</w:t>
      </w:r>
      <w:r w:rsidRPr="00674BA4">
        <w:rPr>
          <w:rFonts w:ascii="Goudy Old Style" w:eastAsia="華康楷書體W3" w:hAnsi="Goudy Old Style" w:cs="Times New Roman"/>
          <w:szCs w:val="24"/>
        </w:rPr>
        <w:t>1995</w:t>
      </w:r>
      <w:r w:rsidRPr="00674BA4">
        <w:rPr>
          <w:rFonts w:ascii="Goudy Old Style" w:eastAsia="華康楷書體W3" w:hAnsi="Goudy Old Style" w:cs="Times New Roman"/>
          <w:szCs w:val="24"/>
        </w:rPr>
        <w:t>年</w:t>
      </w:r>
      <w:r w:rsidRPr="00674BA4">
        <w:rPr>
          <w:rFonts w:ascii="Goudy Old Style" w:eastAsia="華康楷書體W3" w:hAnsi="Goudy Old Style" w:cs="Times New Roman"/>
          <w:szCs w:val="24"/>
        </w:rPr>
        <w:t>11</w:t>
      </w:r>
      <w:r w:rsidRPr="00674BA4">
        <w:rPr>
          <w:rFonts w:ascii="Goudy Old Style" w:eastAsia="華康楷書體W3" w:hAnsi="Goudy Old Style" w:cs="Times New Roman"/>
          <w:szCs w:val="24"/>
        </w:rPr>
        <w:t>月</w:t>
      </w:r>
      <w:r w:rsidRPr="00674BA4">
        <w:rPr>
          <w:rFonts w:ascii="Goudy Old Style" w:eastAsia="華康楷書體W3" w:hAnsi="Goudy Old Style" w:cs="Times New Roman"/>
          <w:szCs w:val="24"/>
        </w:rPr>
        <w:t>4</w:t>
      </w:r>
      <w:r w:rsidRPr="00674BA4">
        <w:rPr>
          <w:rFonts w:ascii="Goudy Old Style" w:eastAsia="華康楷書體W3" w:hAnsi="Goudy Old Style" w:cs="Times New Roman"/>
          <w:szCs w:val="24"/>
        </w:rPr>
        <w:t>日才對</w:t>
      </w:r>
      <w:r w:rsidRPr="00674BA4">
        <w:rPr>
          <w:rFonts w:ascii="Goudy Old Style" w:eastAsia="華康楷書體W3" w:hAnsi="Goudy Old Style" w:cs="Times New Roman"/>
          <w:szCs w:val="24"/>
        </w:rPr>
        <w:t>Liechtenstein</w:t>
      </w:r>
      <w:r w:rsidRPr="00674BA4">
        <w:rPr>
          <w:rFonts w:ascii="Goudy Old Style" w:eastAsia="華康楷書體W3" w:hAnsi="Goudy Old Style" w:cs="Times New Roman"/>
          <w:szCs w:val="24"/>
        </w:rPr>
        <w:t>生效，本案發生乃是在此生效日之前，但是歐洲人權法院認為此項限制選舉權乃是法律所規定的，同時為國會所確認，因此這種限制乃是處於「持續狀態」（</w:t>
      </w:r>
      <w:r w:rsidRPr="00674BA4">
        <w:rPr>
          <w:rFonts w:ascii="Goudy Old Style" w:eastAsia="華康楷書體W3" w:hAnsi="Goudy Old Style" w:cs="Times New Roman"/>
          <w:szCs w:val="24"/>
        </w:rPr>
        <w:t>continuing situation</w:t>
      </w:r>
      <w:r w:rsidRPr="00674BA4">
        <w:rPr>
          <w:rFonts w:ascii="Goudy Old Style" w:eastAsia="華康楷書體W3" w:hAnsi="Goudy Old Style" w:cs="Times New Roman"/>
          <w:szCs w:val="24"/>
        </w:rPr>
        <w:t>）</w:t>
      </w:r>
      <w:r w:rsidRPr="00674BA4">
        <w:rPr>
          <w:rFonts w:ascii="Goudy Old Style" w:eastAsia="華康楷書體W3" w:hAnsi="Goudy Old Style" w:cs="Times New Roman"/>
          <w:szCs w:val="24"/>
          <w:vertAlign w:val="superscript"/>
        </w:rPr>
        <w:footnoteReference w:id="6"/>
      </w:r>
      <w:r w:rsidRPr="00674BA4">
        <w:rPr>
          <w:rFonts w:ascii="Goudy Old Style" w:eastAsia="華康楷書體W3" w:hAnsi="Goudy Old Style" w:cs="Times New Roman"/>
          <w:szCs w:val="24"/>
        </w:rPr>
        <w:t>，因此歐洲人權法院認為其可以審理本案。</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而就公民</w:t>
      </w:r>
      <w:proofErr w:type="gramStart"/>
      <w:r w:rsidRPr="00674BA4">
        <w:rPr>
          <w:rFonts w:ascii="Goudy Old Style" w:eastAsia="華康楷書體W3" w:hAnsi="Goudy Old Style" w:cs="Times New Roman"/>
          <w:szCs w:val="24"/>
        </w:rPr>
        <w:t>複</w:t>
      </w:r>
      <w:proofErr w:type="gramEnd"/>
      <w:r w:rsidRPr="00674BA4">
        <w:rPr>
          <w:rFonts w:ascii="Goudy Old Style" w:eastAsia="華康楷書體W3" w:hAnsi="Goudy Old Style" w:cs="Times New Roman"/>
          <w:szCs w:val="24"/>
        </w:rPr>
        <w:t>決投票部分，歐洲人權法院認為「歐洲人權公約第一議定書」第</w:t>
      </w:r>
      <w:r w:rsidRPr="00674BA4">
        <w:rPr>
          <w:rFonts w:ascii="Goudy Old Style" w:eastAsia="華康楷書體W3" w:hAnsi="Goudy Old Style" w:cs="Times New Roman"/>
          <w:szCs w:val="24"/>
        </w:rPr>
        <w:t>3</w:t>
      </w:r>
      <w:r w:rsidRPr="00674BA4">
        <w:rPr>
          <w:rFonts w:ascii="Goudy Old Style" w:eastAsia="華康楷書體W3" w:hAnsi="Goudy Old Style" w:cs="Times New Roman"/>
          <w:szCs w:val="24"/>
        </w:rPr>
        <w:t>條只及於議會選舉（</w:t>
      </w:r>
      <w:r w:rsidRPr="00674BA4">
        <w:rPr>
          <w:rFonts w:ascii="Goudy Old Style" w:eastAsia="華康楷書體W3" w:hAnsi="Goudy Old Style" w:cs="Times New Roman"/>
          <w:szCs w:val="24"/>
        </w:rPr>
        <w:t>parliamentary election</w:t>
      </w:r>
      <w:r w:rsidRPr="00674BA4">
        <w:rPr>
          <w:rFonts w:ascii="Goudy Old Style" w:eastAsia="華康楷書體W3" w:hAnsi="Goudy Old Style" w:cs="Times New Roman"/>
          <w:szCs w:val="24"/>
        </w:rPr>
        <w:t>），而</w:t>
      </w:r>
      <w:proofErr w:type="gramStart"/>
      <w:r w:rsidRPr="00674BA4">
        <w:rPr>
          <w:rFonts w:ascii="Goudy Old Style" w:eastAsia="華康楷書體W3" w:hAnsi="Goudy Old Style" w:cs="Times New Roman"/>
          <w:szCs w:val="24"/>
        </w:rPr>
        <w:t>不</w:t>
      </w:r>
      <w:proofErr w:type="gramEnd"/>
      <w:r w:rsidRPr="00674BA4">
        <w:rPr>
          <w:rFonts w:ascii="Goudy Old Style" w:eastAsia="華康楷書體W3" w:hAnsi="Goudy Old Style" w:cs="Times New Roman"/>
          <w:szCs w:val="24"/>
        </w:rPr>
        <w:t>及於公民</w:t>
      </w:r>
      <w:proofErr w:type="gramStart"/>
      <w:r w:rsidRPr="00674BA4">
        <w:rPr>
          <w:rFonts w:ascii="Goudy Old Style" w:eastAsia="華康楷書體W3" w:hAnsi="Goudy Old Style" w:cs="Times New Roman"/>
          <w:szCs w:val="24"/>
        </w:rPr>
        <w:t>複</w:t>
      </w:r>
      <w:proofErr w:type="gramEnd"/>
      <w:r w:rsidRPr="00674BA4">
        <w:rPr>
          <w:rFonts w:ascii="Goudy Old Style" w:eastAsia="華康楷書體W3" w:hAnsi="Goudy Old Style" w:cs="Times New Roman"/>
          <w:szCs w:val="24"/>
        </w:rPr>
        <w:t>決，也就是說自由選舉只及於代議民主，而</w:t>
      </w:r>
      <w:proofErr w:type="gramStart"/>
      <w:r w:rsidRPr="00674BA4">
        <w:rPr>
          <w:rFonts w:ascii="Goudy Old Style" w:eastAsia="華康楷書體W3" w:hAnsi="Goudy Old Style" w:cs="Times New Roman"/>
          <w:szCs w:val="24"/>
        </w:rPr>
        <w:t>不</w:t>
      </w:r>
      <w:proofErr w:type="gramEnd"/>
      <w:r w:rsidRPr="00674BA4">
        <w:rPr>
          <w:rFonts w:ascii="Goudy Old Style" w:eastAsia="華康楷書體W3" w:hAnsi="Goudy Old Style" w:cs="Times New Roman"/>
          <w:szCs w:val="24"/>
        </w:rPr>
        <w:t>及於直接民主。在地區選舉部分，歐洲人權法院首先</w:t>
      </w:r>
      <w:r w:rsidRPr="00674BA4">
        <w:rPr>
          <w:rFonts w:ascii="Goudy Old Style" w:eastAsia="華康楷書體W3" w:hAnsi="Goudy Old Style" w:cs="Times New Roman"/>
          <w:szCs w:val="24"/>
        </w:rPr>
        <w:lastRenderedPageBreak/>
        <w:t>引述歐洲人權委員會之意見認為，將某一居住期限作為擁有投票權之前提，並非恣意限制自由選舉權，且符合「歐洲人權公約第一議定書」第</w:t>
      </w:r>
      <w:r w:rsidRPr="00674BA4">
        <w:rPr>
          <w:rFonts w:ascii="Goudy Old Style" w:eastAsia="華康楷書體W3" w:hAnsi="Goudy Old Style" w:cs="Times New Roman"/>
          <w:szCs w:val="24"/>
        </w:rPr>
        <w:t>3</w:t>
      </w:r>
      <w:r w:rsidRPr="00674BA4">
        <w:rPr>
          <w:rFonts w:ascii="Goudy Old Style" w:eastAsia="華康楷書體W3" w:hAnsi="Goudy Old Style" w:cs="Times New Roman"/>
          <w:szCs w:val="24"/>
        </w:rPr>
        <w:t>條之規定。歐洲人權法院也認為有</w:t>
      </w:r>
      <w:r w:rsidRPr="00674BA4">
        <w:rPr>
          <w:rFonts w:ascii="Goudy Old Style" w:eastAsia="華康楷書體W3" w:hAnsi="Goudy Old Style" w:cs="Times New Roman"/>
          <w:szCs w:val="24"/>
        </w:rPr>
        <w:t>4</w:t>
      </w:r>
      <w:r w:rsidRPr="00674BA4">
        <w:rPr>
          <w:rFonts w:ascii="Goudy Old Style" w:eastAsia="華康楷書體W3" w:hAnsi="Goudy Old Style" w:cs="Times New Roman"/>
          <w:szCs w:val="24"/>
        </w:rPr>
        <w:t>點理由可使居住期間限制具備正當性。首先，非居民比較無法直接或繼續瞭解一個國家之問題，當然其對國家情狀之瞭解自然較少。第二，候選人比較難以對非居民陳述各種不同的選舉議題，非居民亦對選擇候選人或形成選舉政策較無影響。第三，非居民比較不熟悉選舉權與政黨運作之互動情形。第四，限制居住國外國民影響選舉事項有其正當性，因為各種選舉之主要</w:t>
      </w:r>
      <w:proofErr w:type="gramStart"/>
      <w:r w:rsidRPr="00674BA4">
        <w:rPr>
          <w:rFonts w:ascii="Goudy Old Style" w:eastAsia="華康楷書體W3" w:hAnsi="Goudy Old Style" w:cs="Times New Roman"/>
          <w:szCs w:val="24"/>
        </w:rPr>
        <w:t>影響均是針對</w:t>
      </w:r>
      <w:proofErr w:type="gramEnd"/>
      <w:r w:rsidRPr="00674BA4">
        <w:rPr>
          <w:rFonts w:ascii="Goudy Old Style" w:eastAsia="華康楷書體W3" w:hAnsi="Goudy Old Style" w:cs="Times New Roman"/>
          <w:szCs w:val="24"/>
        </w:rPr>
        <w:t>居住國內之國民</w:t>
      </w:r>
      <w:r w:rsidRPr="00674BA4">
        <w:rPr>
          <w:rFonts w:ascii="Goudy Old Style" w:eastAsia="華康楷書體W3" w:hAnsi="Goudy Old Style" w:cs="Times New Roman"/>
          <w:szCs w:val="24"/>
          <w:vertAlign w:val="superscript"/>
        </w:rPr>
        <w:footnoteReference w:id="7"/>
      </w:r>
      <w:r w:rsidRPr="00674BA4">
        <w:rPr>
          <w:rFonts w:ascii="Goudy Old Style" w:eastAsia="華康楷書體W3" w:hAnsi="Goudy Old Style" w:cs="Times New Roman"/>
          <w:szCs w:val="24"/>
        </w:rPr>
        <w:t>。更重要的是歐洲人權法院雖然認為上述</w:t>
      </w:r>
      <w:r w:rsidRPr="00674BA4">
        <w:rPr>
          <w:rFonts w:ascii="Goudy Old Style" w:eastAsia="華康楷書體W3" w:hAnsi="Goudy Old Style" w:cs="Times New Roman"/>
          <w:szCs w:val="24"/>
        </w:rPr>
        <w:t>4</w:t>
      </w:r>
      <w:r w:rsidRPr="00674BA4">
        <w:rPr>
          <w:rFonts w:ascii="Goudy Old Style" w:eastAsia="華康楷書體W3" w:hAnsi="Goudy Old Style" w:cs="Times New Roman"/>
          <w:szCs w:val="24"/>
        </w:rPr>
        <w:t>點論證或許對於某些個案無法適用，但是歐洲人權法院認為法律無法考慮到每一個案，而只能訂定一般原則</w:t>
      </w:r>
      <w:r w:rsidRPr="00674BA4">
        <w:rPr>
          <w:rFonts w:ascii="Goudy Old Style" w:eastAsia="華康楷書體W3" w:hAnsi="Goudy Old Style" w:cs="Times New Roman"/>
          <w:szCs w:val="24"/>
          <w:vertAlign w:val="superscript"/>
        </w:rPr>
        <w:footnoteReference w:id="8"/>
      </w:r>
      <w:r w:rsidRPr="00674BA4">
        <w:rPr>
          <w:rFonts w:ascii="Goudy Old Style" w:eastAsia="華康楷書體W3" w:hAnsi="Goudy Old Style" w:cs="Times New Roman"/>
          <w:szCs w:val="24"/>
        </w:rPr>
        <w:t>，所以歐洲人權法院認定申請人之情況與居民不同，而居住期限之規定是符合「歐洲人權公約第一議定書」第</w:t>
      </w:r>
      <w:r w:rsidRPr="00674BA4">
        <w:rPr>
          <w:rFonts w:ascii="Goudy Old Style" w:eastAsia="華康楷書體W3" w:hAnsi="Goudy Old Style" w:cs="Times New Roman"/>
          <w:szCs w:val="24"/>
        </w:rPr>
        <w:t>3</w:t>
      </w:r>
      <w:r w:rsidRPr="00674BA4">
        <w:rPr>
          <w:rFonts w:ascii="Goudy Old Style" w:eastAsia="華康楷書體W3" w:hAnsi="Goudy Old Style" w:cs="Times New Roman"/>
          <w:szCs w:val="24"/>
        </w:rPr>
        <w:t>條之要求，歐洲人權法院以顯無理由程序不受理本案。</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當然本案牽涉</w:t>
      </w:r>
      <w:r w:rsidRPr="00674BA4">
        <w:rPr>
          <w:rFonts w:ascii="Goudy Old Style" w:eastAsia="華康楷書體W3" w:hAnsi="Goudy Old Style" w:cs="Times New Roman"/>
          <w:szCs w:val="24"/>
        </w:rPr>
        <w:t>2</w:t>
      </w:r>
      <w:r w:rsidRPr="00674BA4">
        <w:rPr>
          <w:rFonts w:ascii="Goudy Old Style" w:eastAsia="華康楷書體W3" w:hAnsi="Goudy Old Style" w:cs="Times New Roman"/>
          <w:szCs w:val="24"/>
        </w:rPr>
        <w:t>個重點。第一，直接民主模式的公民</w:t>
      </w:r>
      <w:proofErr w:type="gramStart"/>
      <w:r w:rsidRPr="00674BA4">
        <w:rPr>
          <w:rFonts w:ascii="Goudy Old Style" w:eastAsia="華康楷書體W3" w:hAnsi="Goudy Old Style" w:cs="Times New Roman"/>
          <w:szCs w:val="24"/>
        </w:rPr>
        <w:t>複</w:t>
      </w:r>
      <w:proofErr w:type="gramEnd"/>
      <w:r w:rsidRPr="00674BA4">
        <w:rPr>
          <w:rFonts w:ascii="Goudy Old Style" w:eastAsia="華康楷書體W3" w:hAnsi="Goudy Old Style" w:cs="Times New Roman"/>
          <w:szCs w:val="24"/>
        </w:rPr>
        <w:t>決為何不能成為「立法機關」之一部分，既使在「歐洲人權公約第一議定書」第</w:t>
      </w:r>
      <w:r w:rsidRPr="00674BA4">
        <w:rPr>
          <w:rFonts w:ascii="Goudy Old Style" w:eastAsia="華康楷書體W3" w:hAnsi="Goudy Old Style" w:cs="Times New Roman"/>
          <w:szCs w:val="24"/>
        </w:rPr>
        <w:t>3</w:t>
      </w:r>
      <w:r w:rsidRPr="00674BA4">
        <w:rPr>
          <w:rFonts w:ascii="Goudy Old Style" w:eastAsia="華康楷書體W3" w:hAnsi="Goudy Old Style" w:cs="Times New Roman"/>
          <w:szCs w:val="24"/>
        </w:rPr>
        <w:t>條</w:t>
      </w:r>
      <w:proofErr w:type="gramStart"/>
      <w:r w:rsidRPr="00674BA4">
        <w:rPr>
          <w:rFonts w:ascii="Goudy Old Style" w:eastAsia="華康楷書體W3" w:hAnsi="Goudy Old Style" w:cs="Times New Roman"/>
          <w:szCs w:val="24"/>
        </w:rPr>
        <w:t>條文均未修正</w:t>
      </w:r>
      <w:proofErr w:type="gramEnd"/>
      <w:r w:rsidRPr="00674BA4">
        <w:rPr>
          <w:rFonts w:ascii="Goudy Old Style" w:eastAsia="華康楷書體W3" w:hAnsi="Goudy Old Style" w:cs="Times New Roman"/>
          <w:szCs w:val="24"/>
        </w:rPr>
        <w:t>情況下，歐洲人權法院可以將公約制定者均無法想像的「歐洲議會」解釋為「歐洲人權公約第一議定書」第</w:t>
      </w:r>
      <w:r w:rsidRPr="00674BA4">
        <w:rPr>
          <w:rFonts w:ascii="Goudy Old Style" w:eastAsia="華康楷書體W3" w:hAnsi="Goudy Old Style" w:cs="Times New Roman"/>
          <w:szCs w:val="24"/>
        </w:rPr>
        <w:t>3</w:t>
      </w:r>
      <w:r w:rsidRPr="00674BA4">
        <w:rPr>
          <w:rFonts w:ascii="Goudy Old Style" w:eastAsia="華康楷書體W3" w:hAnsi="Goudy Old Style" w:cs="Times New Roman"/>
          <w:szCs w:val="24"/>
        </w:rPr>
        <w:t>條所稱之「立法機關」，而「公民投票」或「創制</w:t>
      </w:r>
      <w:proofErr w:type="gramStart"/>
      <w:r w:rsidRPr="00674BA4">
        <w:rPr>
          <w:rFonts w:ascii="Goudy Old Style" w:eastAsia="華康楷書體W3" w:hAnsi="Goudy Old Style" w:cs="Times New Roman"/>
          <w:szCs w:val="24"/>
        </w:rPr>
        <w:t>複</w:t>
      </w:r>
      <w:proofErr w:type="gramEnd"/>
      <w:r w:rsidRPr="00674BA4">
        <w:rPr>
          <w:rFonts w:ascii="Goudy Old Style" w:eastAsia="華康楷書體W3" w:hAnsi="Goudy Old Style" w:cs="Times New Roman"/>
          <w:szCs w:val="24"/>
        </w:rPr>
        <w:t>決權」歷史亦相當長久，且為歐洲各國所熟悉，但是歐洲人權法院卻認為「公民投票」非「立法機關」之一種，其實「公民投票」就是一種直接民意之表示，更</w:t>
      </w:r>
      <w:r w:rsidRPr="00674BA4">
        <w:rPr>
          <w:rFonts w:ascii="Goudy Old Style" w:eastAsia="華康楷書體W3" w:hAnsi="Goudy Old Style" w:cs="Times New Roman"/>
          <w:szCs w:val="24"/>
        </w:rPr>
        <w:lastRenderedPageBreak/>
        <w:t>可能成為一種直接立法方式，實在無需立刻將其排除在外，歐洲人權法院事實上可以用解釋之方法彌補公約條文之缺陷，但可惜的是歐洲人權法院並沒有這樣做。第二</w:t>
      </w:r>
      <w:proofErr w:type="gramStart"/>
      <w:r w:rsidRPr="00674BA4">
        <w:rPr>
          <w:rFonts w:ascii="Goudy Old Style" w:eastAsia="華康楷書體W3" w:hAnsi="Goudy Old Style" w:cs="Times New Roman"/>
          <w:szCs w:val="24"/>
        </w:rPr>
        <w:t>個</w:t>
      </w:r>
      <w:proofErr w:type="gramEnd"/>
      <w:r w:rsidRPr="00674BA4">
        <w:rPr>
          <w:rFonts w:ascii="Goudy Old Style" w:eastAsia="華康楷書體W3" w:hAnsi="Goudy Old Style" w:cs="Times New Roman"/>
          <w:szCs w:val="24"/>
        </w:rPr>
        <w:t>重點是有關投票權之居住期限，歐洲人權法院的論述確實有其基礎，但是現代科技演變已使這些基礎改變，電腦科技的進步使得人們可以得知千里外之事物，有心觀察者甚至可能比當地居住者更瞭解當地之事件，因此居住與否</w:t>
      </w:r>
      <w:proofErr w:type="gramStart"/>
      <w:r w:rsidRPr="00674BA4">
        <w:rPr>
          <w:rFonts w:ascii="Goudy Old Style" w:eastAsia="華康楷書體W3" w:hAnsi="Goudy Old Style" w:cs="Times New Roman"/>
          <w:szCs w:val="24"/>
        </w:rPr>
        <w:t>不</w:t>
      </w:r>
      <w:proofErr w:type="gramEnd"/>
      <w:r w:rsidRPr="00674BA4">
        <w:rPr>
          <w:rFonts w:ascii="Goudy Old Style" w:eastAsia="華康楷書體W3" w:hAnsi="Goudy Old Style" w:cs="Times New Roman"/>
          <w:szCs w:val="24"/>
        </w:rPr>
        <w:t>必然是瞭解事物之前提。其次，現在歐洲地區人員可自由</w:t>
      </w:r>
      <w:proofErr w:type="gramStart"/>
      <w:r w:rsidRPr="00674BA4">
        <w:rPr>
          <w:rFonts w:ascii="Goudy Old Style" w:eastAsia="華康楷書體W3" w:hAnsi="Goudy Old Style" w:cs="Times New Roman"/>
          <w:szCs w:val="24"/>
        </w:rPr>
        <w:t>遷徒</w:t>
      </w:r>
      <w:proofErr w:type="gramEnd"/>
      <w:r w:rsidRPr="00674BA4">
        <w:rPr>
          <w:rFonts w:ascii="Goudy Old Style" w:eastAsia="華康楷書體W3" w:hAnsi="Goudy Old Style" w:cs="Times New Roman"/>
          <w:szCs w:val="24"/>
        </w:rPr>
        <w:t>，歐洲共同體條約保障人員遷徙自由（</w:t>
      </w:r>
      <w:r w:rsidRPr="00674BA4">
        <w:rPr>
          <w:rFonts w:ascii="Goudy Old Style" w:eastAsia="華康楷書體W3" w:hAnsi="Goudy Old Style" w:cs="Times New Roman"/>
          <w:szCs w:val="24"/>
        </w:rPr>
        <w:t>free movement of persons</w:t>
      </w:r>
      <w:r w:rsidRPr="00674BA4">
        <w:rPr>
          <w:rFonts w:ascii="Goudy Old Style" w:eastAsia="華康楷書體W3" w:hAnsi="Goudy Old Style" w:cs="Times New Roman"/>
          <w:szCs w:val="24"/>
        </w:rPr>
        <w:t>）</w:t>
      </w:r>
      <w:r w:rsidRPr="00674BA4">
        <w:rPr>
          <w:rFonts w:ascii="Goudy Old Style" w:eastAsia="華康楷書體W3" w:hAnsi="Goudy Old Style" w:cs="Times New Roman"/>
          <w:szCs w:val="24"/>
          <w:vertAlign w:val="superscript"/>
        </w:rPr>
        <w:footnoteReference w:id="9"/>
      </w:r>
      <w:r w:rsidRPr="00674BA4">
        <w:rPr>
          <w:rFonts w:ascii="Goudy Old Style" w:eastAsia="華康楷書體W3" w:hAnsi="Goudy Old Style" w:cs="Times New Roman"/>
          <w:szCs w:val="24"/>
        </w:rPr>
        <w:t>，而且歐洲理事會訂有「管理歐洲理事會各會員國人員遷徙自由之歐洲協議」（</w:t>
      </w:r>
      <w:r w:rsidRPr="00674BA4">
        <w:rPr>
          <w:rFonts w:ascii="Goudy Old Style" w:eastAsia="華康楷書體W3" w:hAnsi="Goudy Old Style" w:cs="Times New Roman"/>
          <w:szCs w:val="24"/>
        </w:rPr>
        <w:t>European Agreement on Regulations governing the Movement of Persons between Member States of the Council of Europe</w:t>
      </w:r>
      <w:r w:rsidRPr="00674BA4">
        <w:rPr>
          <w:rFonts w:ascii="Goudy Old Style" w:eastAsia="華康楷書體W3" w:hAnsi="Goudy Old Style" w:cs="Times New Roman"/>
          <w:szCs w:val="24"/>
        </w:rPr>
        <w:t>）</w:t>
      </w:r>
      <w:r w:rsidRPr="00674BA4">
        <w:rPr>
          <w:rFonts w:ascii="Goudy Old Style" w:eastAsia="華康楷書體W3" w:hAnsi="Goudy Old Style" w:cs="Times New Roman"/>
          <w:szCs w:val="24"/>
          <w:vertAlign w:val="superscript"/>
        </w:rPr>
        <w:footnoteReference w:id="10"/>
      </w:r>
      <w:r w:rsidRPr="00674BA4">
        <w:rPr>
          <w:rFonts w:ascii="Goudy Old Style" w:eastAsia="華康楷書體W3" w:hAnsi="Goudy Old Style" w:cs="Times New Roman"/>
          <w:szCs w:val="24"/>
        </w:rPr>
        <w:t>，</w:t>
      </w:r>
      <w:proofErr w:type="gramStart"/>
      <w:r w:rsidRPr="00674BA4">
        <w:rPr>
          <w:rFonts w:ascii="Goudy Old Style" w:eastAsia="華康楷書體W3" w:hAnsi="Goudy Old Style" w:cs="Times New Roman"/>
          <w:szCs w:val="24"/>
        </w:rPr>
        <w:t>均是允許</w:t>
      </w:r>
      <w:proofErr w:type="gramEnd"/>
      <w:r w:rsidRPr="00674BA4">
        <w:rPr>
          <w:rFonts w:ascii="Goudy Old Style" w:eastAsia="華康楷書體W3" w:hAnsi="Goudy Old Style" w:cs="Times New Roman"/>
          <w:szCs w:val="24"/>
        </w:rPr>
        <w:t>歐洲人民居住於他國之規範，因此歐洲地區人員流動頻繁，有許多人甚至是長期居住於歐洲其他國家的，如果一方面允許人員自由</w:t>
      </w:r>
      <w:proofErr w:type="gramStart"/>
      <w:r w:rsidRPr="00674BA4">
        <w:rPr>
          <w:rFonts w:ascii="Goudy Old Style" w:eastAsia="華康楷書體W3" w:hAnsi="Goudy Old Style" w:cs="Times New Roman"/>
          <w:szCs w:val="24"/>
        </w:rPr>
        <w:t>遷徒</w:t>
      </w:r>
      <w:proofErr w:type="gramEnd"/>
      <w:r w:rsidRPr="00674BA4">
        <w:rPr>
          <w:rFonts w:ascii="Goudy Old Style" w:eastAsia="華康楷書體W3" w:hAnsi="Goudy Old Style" w:cs="Times New Roman"/>
          <w:szCs w:val="24"/>
        </w:rPr>
        <w:t>居住他國，另一方面卻無法有選舉權，恐怕是彼此矛盾的，如此勢必要逼迫許多人為了行使投票權，而必需回國居住一定</w:t>
      </w:r>
      <w:proofErr w:type="gramStart"/>
      <w:r w:rsidRPr="00674BA4">
        <w:rPr>
          <w:rFonts w:ascii="Goudy Old Style" w:eastAsia="華康楷書體W3" w:hAnsi="Goudy Old Style" w:cs="Times New Roman"/>
          <w:szCs w:val="24"/>
        </w:rPr>
        <w:t>期間，</w:t>
      </w:r>
      <w:proofErr w:type="gramEnd"/>
      <w:r w:rsidRPr="00674BA4">
        <w:rPr>
          <w:rFonts w:ascii="Goudy Old Style" w:eastAsia="華康楷書體W3" w:hAnsi="Goudy Old Style" w:cs="Times New Roman"/>
          <w:szCs w:val="24"/>
        </w:rPr>
        <w:t>歐洲人權法院應該相當瞭解歐洲自由遷徙之情況，因此其實歐洲人權法院應可扮演司法積極之角色，以兼顧自由選舉權及自由遷徙居住權。</w:t>
      </w:r>
    </w:p>
    <w:p w:rsidR="00674BA4" w:rsidRPr="00674BA4" w:rsidRDefault="00674BA4" w:rsidP="00674BA4">
      <w:pPr>
        <w:spacing w:line="300" w:lineRule="auto"/>
        <w:ind w:firstLineChars="200" w:firstLine="480"/>
        <w:jc w:val="both"/>
        <w:rPr>
          <w:rFonts w:ascii="Goudy Old Style" w:eastAsia="華康楷書體W3" w:hAnsi="Goudy Old Style" w:cs="Times New Roman"/>
          <w:b/>
          <w:szCs w:val="24"/>
        </w:rPr>
      </w:pPr>
      <w:r w:rsidRPr="00674BA4">
        <w:rPr>
          <w:rFonts w:ascii="Goudy Old Style" w:eastAsia="華康楷書體W3" w:hAnsi="Goudy Old Style" w:cs="Times New Roman"/>
          <w:b/>
          <w:szCs w:val="24"/>
        </w:rPr>
        <w:t>二、被選舉權</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歐洲人權法院審理之案件中有關被選舉權部分包括三個面向，即候選資格、</w:t>
      </w:r>
      <w:r w:rsidRPr="00674BA4">
        <w:rPr>
          <w:rFonts w:ascii="Goudy Old Style" w:eastAsia="華康楷書體W3" w:hAnsi="Goudy Old Style" w:cs="Times New Roman"/>
          <w:szCs w:val="24"/>
        </w:rPr>
        <w:lastRenderedPageBreak/>
        <w:t>政黨解散及宣誓就職等相關議題，以下依序析論之。</w:t>
      </w:r>
    </w:p>
    <w:p w:rsidR="00674BA4" w:rsidRPr="00674BA4" w:rsidRDefault="00674BA4" w:rsidP="00674BA4">
      <w:pPr>
        <w:spacing w:line="300" w:lineRule="auto"/>
        <w:ind w:firstLineChars="200" w:firstLine="480"/>
        <w:jc w:val="both"/>
        <w:rPr>
          <w:rFonts w:ascii="Goudy Old Style" w:eastAsia="華康楷書體W3" w:hAnsi="Goudy Old Style" w:cs="Times New Roman"/>
          <w:b/>
          <w:szCs w:val="24"/>
        </w:rPr>
      </w:pPr>
      <w:r w:rsidRPr="00674BA4">
        <w:rPr>
          <w:rFonts w:ascii="Goudy Old Style" w:eastAsia="華康楷書體W3" w:hAnsi="Goudy Old Style" w:cs="Times New Roman"/>
          <w:b/>
          <w:szCs w:val="24"/>
        </w:rPr>
        <w:t>（一）候選資格</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歐洲人權法院認為限制公營事業人員及地區公務員參與議會選舉並不影響其自由選舉權。在</w:t>
      </w:r>
      <w:proofErr w:type="spellStart"/>
      <w:r w:rsidRPr="00674BA4">
        <w:rPr>
          <w:rFonts w:ascii="Goudy Old Style" w:eastAsia="華康楷書體W3" w:hAnsi="Goudy Old Style" w:cs="Times New Roman"/>
          <w:i/>
          <w:szCs w:val="24"/>
        </w:rPr>
        <w:t>Gitonas</w:t>
      </w:r>
      <w:proofErr w:type="spellEnd"/>
      <w:r w:rsidRPr="00674BA4">
        <w:rPr>
          <w:rFonts w:ascii="Goudy Old Style" w:eastAsia="華康楷書體W3" w:hAnsi="Goudy Old Style" w:cs="Times New Roman"/>
          <w:i/>
          <w:szCs w:val="24"/>
        </w:rPr>
        <w:t xml:space="preserve"> and Others v. Greece (1)</w:t>
      </w:r>
      <w:r w:rsidRPr="00674BA4">
        <w:rPr>
          <w:rFonts w:ascii="Goudy Old Style" w:eastAsia="華康楷書體W3" w:hAnsi="Goudy Old Style" w:cs="Times New Roman"/>
          <w:szCs w:val="24"/>
          <w:vertAlign w:val="superscript"/>
        </w:rPr>
        <w:footnoteReference w:id="11"/>
      </w:r>
      <w:r w:rsidRPr="00674BA4">
        <w:rPr>
          <w:rFonts w:ascii="Goudy Old Style" w:eastAsia="華康楷書體W3" w:hAnsi="Goudy Old Style" w:cs="Times New Roman"/>
          <w:szCs w:val="24"/>
        </w:rPr>
        <w:t>一案中共有</w:t>
      </w:r>
      <w:r w:rsidRPr="00674BA4">
        <w:rPr>
          <w:rFonts w:ascii="Goudy Old Style" w:eastAsia="華康楷書體W3" w:hAnsi="Goudy Old Style" w:cs="Times New Roman"/>
          <w:szCs w:val="24"/>
        </w:rPr>
        <w:t>4</w:t>
      </w:r>
      <w:r w:rsidRPr="00674BA4">
        <w:rPr>
          <w:rFonts w:ascii="Goudy Old Style" w:eastAsia="華康楷書體W3" w:hAnsi="Goudy Old Style" w:cs="Times New Roman"/>
          <w:szCs w:val="24"/>
        </w:rPr>
        <w:t>位申請人，他們在國會選舉中獲勝，但是因為他們在選舉前擔任公營事業之職務，而被取消當選資格，希臘法律規定在選舉前</w:t>
      </w:r>
      <w:r w:rsidRPr="00674BA4">
        <w:rPr>
          <w:rFonts w:ascii="Goudy Old Style" w:eastAsia="華康楷書體W3" w:hAnsi="Goudy Old Style" w:cs="Times New Roman"/>
          <w:szCs w:val="24"/>
        </w:rPr>
        <w:t>3</w:t>
      </w:r>
      <w:r w:rsidRPr="00674BA4">
        <w:rPr>
          <w:rFonts w:ascii="Goudy Old Style" w:eastAsia="華康楷書體W3" w:hAnsi="Goudy Old Style" w:cs="Times New Roman"/>
          <w:szCs w:val="24"/>
        </w:rPr>
        <w:t>年曾經有</w:t>
      </w:r>
      <w:r w:rsidRPr="00674BA4">
        <w:rPr>
          <w:rFonts w:ascii="Goudy Old Style" w:eastAsia="華康楷書體W3" w:hAnsi="Goudy Old Style" w:cs="Times New Roman"/>
          <w:szCs w:val="24"/>
        </w:rPr>
        <w:t>3</w:t>
      </w:r>
      <w:r w:rsidRPr="00674BA4">
        <w:rPr>
          <w:rFonts w:ascii="Goudy Old Style" w:eastAsia="華康楷書體W3" w:hAnsi="Goudy Old Style" w:cs="Times New Roman"/>
          <w:szCs w:val="24"/>
        </w:rPr>
        <w:t>個月以上擔任公職者不得參與國會選舉，而</w:t>
      </w:r>
      <w:r w:rsidRPr="00674BA4">
        <w:rPr>
          <w:rFonts w:ascii="Goudy Old Style" w:eastAsia="華康楷書體W3" w:hAnsi="Goudy Old Style" w:cs="Times New Roman"/>
          <w:szCs w:val="24"/>
        </w:rPr>
        <w:t>4</w:t>
      </w:r>
      <w:r w:rsidRPr="00674BA4">
        <w:rPr>
          <w:rFonts w:ascii="Goudy Old Style" w:eastAsia="華康楷書體W3" w:hAnsi="Goudy Old Style" w:cs="Times New Roman"/>
          <w:szCs w:val="24"/>
        </w:rPr>
        <w:t>位申請人在選前分別擔任首相辦公室主任、國營電視台及廣播電台執行長及社會安全基金副執行長，這些職位被認為是公職的一部分。</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本案之核心是限制擔任公職者不得參與選舉是否符合自由選舉權之理念？是否剝奪申請人之被選舉權？歐洲人權法院認為本案並未違反「歐洲人權公約第一議定書」第</w:t>
      </w:r>
      <w:r w:rsidRPr="00674BA4">
        <w:rPr>
          <w:rFonts w:ascii="Goudy Old Style" w:eastAsia="華康楷書體W3" w:hAnsi="Goudy Old Style" w:cs="Times New Roman"/>
          <w:szCs w:val="24"/>
        </w:rPr>
        <w:t>3</w:t>
      </w:r>
      <w:r w:rsidRPr="00674BA4">
        <w:rPr>
          <w:rFonts w:ascii="Goudy Old Style" w:eastAsia="華康楷書體W3" w:hAnsi="Goudy Old Style" w:cs="Times New Roman"/>
          <w:szCs w:val="24"/>
        </w:rPr>
        <w:t>條之規定，而其論證主要基於</w:t>
      </w:r>
      <w:r w:rsidRPr="00674BA4">
        <w:rPr>
          <w:rFonts w:ascii="Goudy Old Style" w:eastAsia="華康楷書體W3" w:hAnsi="Goudy Old Style" w:cs="Times New Roman"/>
          <w:szCs w:val="24"/>
        </w:rPr>
        <w:t>2</w:t>
      </w:r>
      <w:r w:rsidRPr="00674BA4">
        <w:rPr>
          <w:rFonts w:ascii="Goudy Old Style" w:eastAsia="華康楷書體W3" w:hAnsi="Goudy Old Style" w:cs="Times New Roman"/>
          <w:szCs w:val="24"/>
        </w:rPr>
        <w:t>項原因，即歐洲共識（</w:t>
      </w:r>
      <w:proofErr w:type="spellStart"/>
      <w:r w:rsidRPr="00674BA4">
        <w:rPr>
          <w:rFonts w:ascii="Goudy Old Style" w:eastAsia="華康楷書體W3" w:hAnsi="Goudy Old Style" w:cs="Times New Roman"/>
          <w:szCs w:val="24"/>
        </w:rPr>
        <w:t>european</w:t>
      </w:r>
      <w:proofErr w:type="spellEnd"/>
      <w:r w:rsidRPr="00674BA4">
        <w:rPr>
          <w:rFonts w:ascii="Goudy Old Style" w:eastAsia="華康楷書體W3" w:hAnsi="Goudy Old Style" w:cs="Times New Roman"/>
          <w:szCs w:val="24"/>
        </w:rPr>
        <w:t xml:space="preserve"> consensus</w:t>
      </w:r>
      <w:r w:rsidRPr="00674BA4">
        <w:rPr>
          <w:rFonts w:ascii="Goudy Old Style" w:eastAsia="華康楷書體W3" w:hAnsi="Goudy Old Style" w:cs="Times New Roman"/>
          <w:szCs w:val="24"/>
        </w:rPr>
        <w:t>）及判斷餘地原則（</w:t>
      </w:r>
      <w:r w:rsidRPr="00674BA4">
        <w:rPr>
          <w:rFonts w:ascii="Goudy Old Style" w:eastAsia="華康楷書體W3" w:hAnsi="Goudy Old Style" w:cs="Times New Roman"/>
          <w:szCs w:val="24"/>
        </w:rPr>
        <w:t>doctrine of margin of appreciation</w:t>
      </w:r>
      <w:r w:rsidRPr="00674BA4">
        <w:rPr>
          <w:rFonts w:ascii="Goudy Old Style" w:eastAsia="華康楷書體W3" w:hAnsi="Goudy Old Style" w:cs="Times New Roman"/>
          <w:szCs w:val="24"/>
        </w:rPr>
        <w:t>）。就所謂的歐洲共識而言，歐洲人權法院認為在許多歐洲理事會</w:t>
      </w:r>
      <w:proofErr w:type="gramStart"/>
      <w:r w:rsidRPr="00674BA4">
        <w:rPr>
          <w:rFonts w:ascii="Goudy Old Style" w:eastAsia="華康楷書體W3" w:hAnsi="Goudy Old Style" w:cs="Times New Roman"/>
          <w:szCs w:val="24"/>
        </w:rPr>
        <w:t>國家均有禁止</w:t>
      </w:r>
      <w:proofErr w:type="gramEnd"/>
      <w:r w:rsidRPr="00674BA4">
        <w:rPr>
          <w:rFonts w:ascii="Goudy Old Style" w:eastAsia="華康楷書體W3" w:hAnsi="Goudy Old Style" w:cs="Times New Roman"/>
          <w:szCs w:val="24"/>
        </w:rPr>
        <w:t>公職參選之法條規定，這些規定主要為了</w:t>
      </w:r>
      <w:r w:rsidRPr="00674BA4">
        <w:rPr>
          <w:rFonts w:ascii="Goudy Old Style" w:eastAsia="華康楷書體W3" w:hAnsi="Goudy Old Style" w:cs="Times New Roman"/>
          <w:szCs w:val="24"/>
        </w:rPr>
        <w:t>2</w:t>
      </w:r>
      <w:r w:rsidRPr="00674BA4">
        <w:rPr>
          <w:rFonts w:ascii="Goudy Old Style" w:eastAsia="華康楷書體W3" w:hAnsi="Goudy Old Style" w:cs="Times New Roman"/>
          <w:szCs w:val="24"/>
        </w:rPr>
        <w:t>個目的，</w:t>
      </w:r>
      <w:proofErr w:type="gramStart"/>
      <w:r w:rsidRPr="00674BA4">
        <w:rPr>
          <w:rFonts w:ascii="Goudy Old Style" w:eastAsia="華康楷書體W3" w:hAnsi="Goudy Old Style" w:cs="Times New Roman"/>
          <w:szCs w:val="24"/>
        </w:rPr>
        <w:t>一</w:t>
      </w:r>
      <w:proofErr w:type="gramEnd"/>
      <w:r w:rsidRPr="00674BA4">
        <w:rPr>
          <w:rFonts w:ascii="Goudy Old Style" w:eastAsia="華康楷書體W3" w:hAnsi="Goudy Old Style" w:cs="Times New Roman"/>
          <w:szCs w:val="24"/>
        </w:rPr>
        <w:t>者是確保參選人有公平的機會，以促使民主政權之正常運作，另一者是保護參選人不被其他公職之壓迫，公務員因為其職位擁有行政權可做重大決策，較能影響選舉人，容易使選舉不公平</w:t>
      </w:r>
      <w:r w:rsidRPr="00674BA4">
        <w:rPr>
          <w:rFonts w:ascii="Goudy Old Style" w:eastAsia="華康楷書體W3" w:hAnsi="Goudy Old Style" w:cs="Times New Roman"/>
          <w:szCs w:val="24"/>
          <w:vertAlign w:val="superscript"/>
        </w:rPr>
        <w:footnoteReference w:id="12"/>
      </w:r>
      <w:r w:rsidRPr="00674BA4">
        <w:rPr>
          <w:rFonts w:ascii="Goudy Old Style" w:eastAsia="華康楷書體W3" w:hAnsi="Goudy Old Style" w:cs="Times New Roman"/>
          <w:szCs w:val="24"/>
        </w:rPr>
        <w:t>。歐洲人權法院認為雖然希臘有關參選資格之法律系統非常複雜，但是其欲限制之共通特質為其職</w:t>
      </w:r>
      <w:r w:rsidRPr="00674BA4">
        <w:rPr>
          <w:rFonts w:ascii="Goudy Old Style" w:eastAsia="華康楷書體W3" w:hAnsi="Goudy Old Style" w:cs="Times New Roman"/>
          <w:szCs w:val="24"/>
        </w:rPr>
        <w:lastRenderedPageBreak/>
        <w:t>位有政治特質及責任者，此情況並不比其他歐洲國家特別。</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就所謂判斷餘地原則而言，歐洲人權法院認為各國有權決定其有關限制參選議員資格之憲政秩序，而其標準依各國歷史及政治因素不同而有所差異。歐洲理事會各國憲法及選舉法呈現多元現象，很難論斷那一種制度較能確保人民能夠經由自由、平等及定期選舉表達自由意志</w:t>
      </w:r>
      <w:r w:rsidRPr="00674BA4">
        <w:rPr>
          <w:rFonts w:ascii="Goudy Old Style" w:eastAsia="華康楷書體W3" w:hAnsi="Goudy Old Style" w:cs="Times New Roman"/>
          <w:szCs w:val="24"/>
          <w:vertAlign w:val="superscript"/>
        </w:rPr>
        <w:footnoteReference w:id="13"/>
      </w:r>
      <w:r w:rsidRPr="00674BA4">
        <w:rPr>
          <w:rFonts w:ascii="Goudy Old Style" w:eastAsia="華康楷書體W3" w:hAnsi="Goudy Old Style" w:cs="Times New Roman"/>
          <w:szCs w:val="24"/>
        </w:rPr>
        <w:t>。因此歐洲人權法院認為，各國國內法院比國際法院更適合於適用國內法律，因此只要國內法院之判決未違法，符合比例原則，或未傷害人民自由表達意見選擇立法機關，歐洲人權法院即認為其判決未違反「歐洲人權公約」，而在本案中歐洲人權法院認為其並未發現希臘國內法院有上述情況，因此歐洲人權法院認定希臘未違反「歐洲人權公約第一議定書」第</w:t>
      </w:r>
      <w:r w:rsidRPr="00674BA4">
        <w:rPr>
          <w:rFonts w:ascii="Goudy Old Style" w:eastAsia="華康楷書體W3" w:hAnsi="Goudy Old Style" w:cs="Times New Roman"/>
          <w:szCs w:val="24"/>
        </w:rPr>
        <w:t>3</w:t>
      </w:r>
      <w:r w:rsidRPr="00674BA4">
        <w:rPr>
          <w:rFonts w:ascii="Goudy Old Style" w:eastAsia="華康楷書體W3" w:hAnsi="Goudy Old Style" w:cs="Times New Roman"/>
          <w:szCs w:val="24"/>
        </w:rPr>
        <w:t>條。</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另一個相關案件是</w:t>
      </w:r>
      <w:r w:rsidRPr="00674BA4">
        <w:rPr>
          <w:rFonts w:ascii="Goudy Old Style" w:eastAsia="華康楷書體W3" w:hAnsi="Goudy Old Style" w:cs="Times New Roman"/>
          <w:i/>
          <w:szCs w:val="24"/>
        </w:rPr>
        <w:t>Ahmed and Others v. the United Kingdom</w:t>
      </w:r>
      <w:r w:rsidRPr="00674BA4">
        <w:rPr>
          <w:rFonts w:ascii="Goudy Old Style" w:eastAsia="華康楷書體W3" w:hAnsi="Goudy Old Style" w:cs="Times New Roman"/>
          <w:szCs w:val="24"/>
          <w:vertAlign w:val="superscript"/>
        </w:rPr>
        <w:footnoteReference w:id="14"/>
      </w:r>
      <w:r w:rsidRPr="00674BA4">
        <w:rPr>
          <w:rFonts w:ascii="Goudy Old Style" w:eastAsia="華康楷書體W3" w:hAnsi="Goudy Old Style" w:cs="Times New Roman"/>
          <w:szCs w:val="24"/>
        </w:rPr>
        <w:t>。本案亦有</w:t>
      </w:r>
      <w:r w:rsidRPr="00674BA4">
        <w:rPr>
          <w:rFonts w:ascii="Goudy Old Style" w:eastAsia="華康楷書體W3" w:hAnsi="Goudy Old Style" w:cs="Times New Roman"/>
          <w:szCs w:val="24"/>
        </w:rPr>
        <w:t>4</w:t>
      </w:r>
      <w:r w:rsidRPr="00674BA4">
        <w:rPr>
          <w:rFonts w:ascii="Goudy Old Style" w:eastAsia="華康楷書體W3" w:hAnsi="Goudy Old Style" w:cs="Times New Roman"/>
          <w:szCs w:val="24"/>
        </w:rPr>
        <w:t>位申請人，</w:t>
      </w:r>
      <w:proofErr w:type="gramStart"/>
      <w:r w:rsidRPr="00674BA4">
        <w:rPr>
          <w:rFonts w:ascii="Goudy Old Style" w:eastAsia="華康楷書體W3" w:hAnsi="Goudy Old Style" w:cs="Times New Roman"/>
          <w:szCs w:val="24"/>
        </w:rPr>
        <w:t>他們均是英國</w:t>
      </w:r>
      <w:proofErr w:type="gramEnd"/>
      <w:r w:rsidRPr="00674BA4">
        <w:rPr>
          <w:rFonts w:ascii="Goudy Old Style" w:eastAsia="華康楷書體W3" w:hAnsi="Goudy Old Style" w:cs="Times New Roman"/>
          <w:szCs w:val="24"/>
        </w:rPr>
        <w:t>地方政府之職員，分別任職為受</w:t>
      </w:r>
      <w:proofErr w:type="gramStart"/>
      <w:r w:rsidRPr="00674BA4">
        <w:rPr>
          <w:rFonts w:ascii="Goudy Old Style" w:eastAsia="華康楷書體W3" w:hAnsi="Goudy Old Style" w:cs="Times New Roman"/>
          <w:szCs w:val="24"/>
        </w:rPr>
        <w:t>僱</w:t>
      </w:r>
      <w:proofErr w:type="gramEnd"/>
      <w:r w:rsidRPr="00674BA4">
        <w:rPr>
          <w:rFonts w:ascii="Goudy Old Style" w:eastAsia="華康楷書體W3" w:hAnsi="Goudy Old Style" w:cs="Times New Roman"/>
          <w:szCs w:val="24"/>
        </w:rPr>
        <w:t>律師、發展委員會專員、設計專員及人事主任。</w:t>
      </w:r>
      <w:r w:rsidRPr="00674BA4">
        <w:rPr>
          <w:rFonts w:ascii="Goudy Old Style" w:eastAsia="華康楷書體W3" w:hAnsi="Goudy Old Style" w:cs="Times New Roman"/>
          <w:szCs w:val="24"/>
        </w:rPr>
        <w:t>4</w:t>
      </w:r>
      <w:r w:rsidRPr="00674BA4">
        <w:rPr>
          <w:rFonts w:ascii="Goudy Old Style" w:eastAsia="華康楷書體W3" w:hAnsi="Goudy Old Style" w:cs="Times New Roman"/>
          <w:szCs w:val="24"/>
        </w:rPr>
        <w:t>位中有</w:t>
      </w:r>
      <w:r w:rsidRPr="00674BA4">
        <w:rPr>
          <w:rFonts w:ascii="Goudy Old Style" w:eastAsia="華康楷書體W3" w:hAnsi="Goudy Old Style" w:cs="Times New Roman"/>
          <w:szCs w:val="24"/>
        </w:rPr>
        <w:t>3</w:t>
      </w:r>
      <w:r w:rsidRPr="00674BA4">
        <w:rPr>
          <w:rFonts w:ascii="Goudy Old Style" w:eastAsia="華康楷書體W3" w:hAnsi="Goudy Old Style" w:cs="Times New Roman"/>
          <w:szCs w:val="24"/>
        </w:rPr>
        <w:t>位為工黨黨員，他們想參與國會選舉，乃申請核可，但是遭到拒絕。英國「</w:t>
      </w:r>
      <w:r w:rsidRPr="00674BA4">
        <w:rPr>
          <w:rFonts w:ascii="Goudy Old Style" w:eastAsia="華康楷書體W3" w:hAnsi="Goudy Old Style" w:cs="Times New Roman"/>
          <w:szCs w:val="24"/>
        </w:rPr>
        <w:t>1989</w:t>
      </w:r>
      <w:r w:rsidRPr="00674BA4">
        <w:rPr>
          <w:rFonts w:ascii="Goudy Old Style" w:eastAsia="華康楷書體W3" w:hAnsi="Goudy Old Style" w:cs="Times New Roman"/>
          <w:szCs w:val="24"/>
        </w:rPr>
        <w:t>年地方政府及房屋法」（</w:t>
      </w:r>
      <w:r w:rsidRPr="00674BA4">
        <w:rPr>
          <w:rFonts w:ascii="Goudy Old Style" w:eastAsia="華康楷書體W3" w:hAnsi="Goudy Old Style" w:cs="Times New Roman"/>
          <w:szCs w:val="24"/>
        </w:rPr>
        <w:t>the Local Government and Housing Art 1989</w:t>
      </w:r>
      <w:r w:rsidRPr="00674BA4">
        <w:rPr>
          <w:rFonts w:ascii="Goudy Old Style" w:eastAsia="華康楷書體W3" w:hAnsi="Goudy Old Style" w:cs="Times New Roman"/>
          <w:szCs w:val="24"/>
        </w:rPr>
        <w:t>）授權環境部長（</w:t>
      </w:r>
      <w:r w:rsidRPr="00674BA4">
        <w:rPr>
          <w:rFonts w:ascii="Goudy Old Style" w:eastAsia="華康楷書體W3" w:hAnsi="Goudy Old Style" w:cs="Times New Roman"/>
          <w:szCs w:val="24"/>
        </w:rPr>
        <w:t>Minister of Environment</w:t>
      </w:r>
      <w:r w:rsidRPr="00674BA4">
        <w:rPr>
          <w:rFonts w:ascii="Goudy Old Style" w:eastAsia="華康楷書體W3" w:hAnsi="Goudy Old Style" w:cs="Times New Roman"/>
          <w:szCs w:val="24"/>
        </w:rPr>
        <w:t>）訂定規程，於是有「</w:t>
      </w:r>
      <w:r w:rsidRPr="00674BA4">
        <w:rPr>
          <w:rFonts w:ascii="Goudy Old Style" w:eastAsia="華康楷書體W3" w:hAnsi="Goudy Old Style" w:cs="Times New Roman"/>
          <w:szCs w:val="24"/>
        </w:rPr>
        <w:t>1990</w:t>
      </w:r>
      <w:r w:rsidRPr="00674BA4">
        <w:rPr>
          <w:rFonts w:ascii="Goudy Old Style" w:eastAsia="華康楷書體W3" w:hAnsi="Goudy Old Style" w:cs="Times New Roman"/>
          <w:szCs w:val="24"/>
        </w:rPr>
        <w:t>年地方政府公務員政治限制規程」（</w:t>
      </w:r>
      <w:r w:rsidRPr="00674BA4">
        <w:rPr>
          <w:rFonts w:ascii="Goudy Old Style" w:eastAsia="華康楷書體W3" w:hAnsi="Goudy Old Style" w:cs="Times New Roman"/>
          <w:szCs w:val="24"/>
        </w:rPr>
        <w:t>the Local Government officers (Political Restrictions) Regulations 1990</w:t>
      </w:r>
      <w:r w:rsidRPr="00674BA4">
        <w:rPr>
          <w:rFonts w:ascii="Goudy Old Style" w:eastAsia="華康楷書體W3" w:hAnsi="Goudy Old Style" w:cs="Times New Roman"/>
          <w:szCs w:val="24"/>
        </w:rPr>
        <w:t>）之制定，此規程將地方公務員分為</w:t>
      </w:r>
      <w:r w:rsidRPr="00674BA4">
        <w:rPr>
          <w:rFonts w:ascii="Goudy Old Style" w:eastAsia="華康楷書體W3" w:hAnsi="Goudy Old Style" w:cs="Times New Roman"/>
          <w:szCs w:val="24"/>
        </w:rPr>
        <w:t>3</w:t>
      </w:r>
      <w:r w:rsidRPr="00674BA4">
        <w:rPr>
          <w:rFonts w:ascii="Goudy Old Style" w:eastAsia="華康楷書體W3" w:hAnsi="Goudy Old Style" w:cs="Times New Roman"/>
          <w:szCs w:val="24"/>
        </w:rPr>
        <w:t>類，並限制其</w:t>
      </w:r>
      <w:r w:rsidRPr="00674BA4">
        <w:rPr>
          <w:rFonts w:ascii="Goudy Old Style" w:eastAsia="華康楷書體W3" w:hAnsi="Goudy Old Style" w:cs="Times New Roman"/>
          <w:szCs w:val="24"/>
        </w:rPr>
        <w:lastRenderedPageBreak/>
        <w:t>參選，如欲參選者應辭職。</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歐洲人權法院認為對申請人參選之限制應從其是否符合確保政治公平此自的衡量之。歐洲人權法院認為本案中對申請人之限制並不影響自由選舉權之本質，因為只有任職於應受政治限制職位者才不得參與選舉。其次，申請人等如欲參選可自由辭職</w:t>
      </w:r>
      <w:r w:rsidRPr="00674BA4">
        <w:rPr>
          <w:rFonts w:ascii="Goudy Old Style" w:eastAsia="華康楷書體W3" w:hAnsi="Goudy Old Style" w:cs="Times New Roman"/>
          <w:szCs w:val="24"/>
          <w:vertAlign w:val="superscript"/>
        </w:rPr>
        <w:footnoteReference w:id="15"/>
      </w:r>
      <w:r w:rsidRPr="00674BA4">
        <w:rPr>
          <w:rFonts w:ascii="Goudy Old Style" w:eastAsia="華康楷書體W3" w:hAnsi="Goudy Old Style" w:cs="Times New Roman"/>
          <w:szCs w:val="24"/>
        </w:rPr>
        <w:t>。因此歐洲人權法院認為本案未違反「歐洲人權公約第一議定書」第</w:t>
      </w:r>
      <w:r w:rsidRPr="00674BA4">
        <w:rPr>
          <w:rFonts w:ascii="Goudy Old Style" w:eastAsia="華康楷書體W3" w:hAnsi="Goudy Old Style" w:cs="Times New Roman"/>
          <w:szCs w:val="24"/>
        </w:rPr>
        <w:t>3</w:t>
      </w:r>
      <w:r w:rsidRPr="00674BA4">
        <w:rPr>
          <w:rFonts w:ascii="Goudy Old Style" w:eastAsia="華康楷書體W3" w:hAnsi="Goudy Old Style" w:cs="Times New Roman"/>
          <w:szCs w:val="24"/>
        </w:rPr>
        <w:t>條之規定。</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由以上兩個判決可得知歐洲人權法院對限制公職參選給予寬鬆之規範，無論是限制時間及限制範圍，歐洲人權法院均認同各國之法律規定，即歐洲人權法院在此部份採取消極態度，</w:t>
      </w:r>
      <w:proofErr w:type="gramStart"/>
      <w:r w:rsidRPr="00674BA4">
        <w:rPr>
          <w:rFonts w:ascii="Goudy Old Style" w:eastAsia="華康楷書體W3" w:hAnsi="Goudy Old Style" w:cs="Times New Roman"/>
          <w:szCs w:val="24"/>
        </w:rPr>
        <w:t>儘</w:t>
      </w:r>
      <w:proofErr w:type="gramEnd"/>
      <w:r w:rsidRPr="00674BA4">
        <w:rPr>
          <w:rFonts w:ascii="Goudy Old Style" w:eastAsia="華康楷書體W3" w:hAnsi="Goudy Old Style" w:cs="Times New Roman"/>
          <w:szCs w:val="24"/>
        </w:rPr>
        <w:t>可能不介入，而其原因或許如同訂定公約時所面臨之困難，所謂自由選舉之定義及制度抉擇是有相當困難的。</w:t>
      </w:r>
    </w:p>
    <w:p w:rsidR="00674BA4" w:rsidRPr="00674BA4" w:rsidRDefault="00674BA4" w:rsidP="00674BA4">
      <w:pPr>
        <w:spacing w:line="300" w:lineRule="auto"/>
        <w:ind w:firstLineChars="200" w:firstLine="480"/>
        <w:jc w:val="both"/>
        <w:rPr>
          <w:rFonts w:ascii="Goudy Old Style" w:eastAsia="華康楷書體W3" w:hAnsi="Goudy Old Style" w:cs="Times New Roman"/>
          <w:b/>
          <w:szCs w:val="24"/>
        </w:rPr>
      </w:pPr>
      <w:r w:rsidRPr="00674BA4">
        <w:rPr>
          <w:rFonts w:ascii="Goudy Old Style" w:eastAsia="華康楷書體W3" w:hAnsi="Goudy Old Style" w:cs="Times New Roman"/>
          <w:b/>
          <w:szCs w:val="24"/>
        </w:rPr>
        <w:t>（二）政黨解散</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「歐洲人權公約第一議定書」第</w:t>
      </w:r>
      <w:r w:rsidRPr="00674BA4">
        <w:rPr>
          <w:rFonts w:ascii="Goudy Old Style" w:eastAsia="華康楷書體W3" w:hAnsi="Goudy Old Style" w:cs="Times New Roman"/>
          <w:szCs w:val="24"/>
        </w:rPr>
        <w:t>3</w:t>
      </w:r>
      <w:r w:rsidRPr="00674BA4">
        <w:rPr>
          <w:rFonts w:ascii="Goudy Old Style" w:eastAsia="華康楷書體W3" w:hAnsi="Goudy Old Style" w:cs="Times New Roman"/>
          <w:szCs w:val="24"/>
        </w:rPr>
        <w:t>條所強調的是選舉立法機關，因此其所著重的是代議政治之模式，而代議政治之進行有相當大之部份是經由政黨政治之運作，因此可否組織政黨或政黨是否會遭到解散，自應是自由選舉之重要基礎。</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歐洲人權法院曾經審理過兩個有關政黨解散之案件，並於其判決表示對自由選舉之理念。在</w:t>
      </w:r>
      <w:r w:rsidRPr="00674BA4">
        <w:rPr>
          <w:rFonts w:ascii="Goudy Old Style" w:eastAsia="華康楷書體W3" w:hAnsi="Goudy Old Style" w:cs="Times New Roman"/>
          <w:i/>
          <w:szCs w:val="24"/>
        </w:rPr>
        <w:t>United Communist Party of Turkey and Others v. Turkey</w:t>
      </w:r>
      <w:r w:rsidRPr="00674BA4">
        <w:rPr>
          <w:rFonts w:ascii="Goudy Old Style" w:eastAsia="華康楷書體W3" w:hAnsi="Goudy Old Style" w:cs="Times New Roman"/>
          <w:szCs w:val="24"/>
          <w:vertAlign w:val="superscript"/>
        </w:rPr>
        <w:footnoteReference w:id="16"/>
      </w:r>
      <w:r w:rsidRPr="00674BA4">
        <w:rPr>
          <w:rFonts w:ascii="Goudy Old Style" w:eastAsia="華康楷書體W3" w:hAnsi="Goudy Old Style" w:cs="Times New Roman"/>
          <w:szCs w:val="24"/>
        </w:rPr>
        <w:t xml:space="preserve"> </w:t>
      </w:r>
      <w:r w:rsidRPr="00674BA4">
        <w:rPr>
          <w:rFonts w:ascii="Goudy Old Style" w:eastAsia="華康楷書體W3" w:hAnsi="Goudy Old Style" w:cs="Times New Roman"/>
          <w:szCs w:val="24"/>
        </w:rPr>
        <w:t>一案中，「土耳其聯合共產黨」（</w:t>
      </w:r>
      <w:r w:rsidRPr="00674BA4">
        <w:rPr>
          <w:rFonts w:ascii="Goudy Old Style" w:eastAsia="華康楷書體W3" w:hAnsi="Goudy Old Style" w:cs="Times New Roman"/>
          <w:szCs w:val="24"/>
        </w:rPr>
        <w:t>United Communist Party of Turkey</w:t>
      </w:r>
      <w:r w:rsidRPr="00674BA4">
        <w:rPr>
          <w:rFonts w:ascii="Goudy Old Style" w:eastAsia="華康楷書體W3" w:hAnsi="Goudy Old Style" w:cs="Times New Roman"/>
          <w:szCs w:val="24"/>
        </w:rPr>
        <w:t>）於</w:t>
      </w:r>
      <w:r w:rsidRPr="00674BA4">
        <w:rPr>
          <w:rFonts w:ascii="Goudy Old Style" w:eastAsia="華康楷書體W3" w:hAnsi="Goudy Old Style" w:cs="Times New Roman"/>
          <w:szCs w:val="24"/>
        </w:rPr>
        <w:t>1990</w:t>
      </w:r>
      <w:r w:rsidRPr="00674BA4">
        <w:rPr>
          <w:rFonts w:ascii="Goudy Old Style" w:eastAsia="華康楷書體W3" w:hAnsi="Goudy Old Style" w:cs="Times New Roman"/>
          <w:szCs w:val="24"/>
        </w:rPr>
        <w:t>年</w:t>
      </w:r>
      <w:r w:rsidRPr="00674BA4">
        <w:rPr>
          <w:rFonts w:ascii="Goudy Old Style" w:eastAsia="華康楷書體W3" w:hAnsi="Goudy Old Style" w:cs="Times New Roman"/>
          <w:szCs w:val="24"/>
        </w:rPr>
        <w:t>6</w:t>
      </w:r>
      <w:r w:rsidRPr="00674BA4">
        <w:rPr>
          <w:rFonts w:ascii="Goudy Old Style" w:eastAsia="華康楷書體W3" w:hAnsi="Goudy Old Style" w:cs="Times New Roman"/>
          <w:szCs w:val="24"/>
        </w:rPr>
        <w:t>月</w:t>
      </w:r>
      <w:r w:rsidRPr="00674BA4">
        <w:rPr>
          <w:rFonts w:ascii="Goudy Old Style" w:eastAsia="華康楷書體W3" w:hAnsi="Goudy Old Style" w:cs="Times New Roman"/>
          <w:szCs w:val="24"/>
        </w:rPr>
        <w:t>4</w:t>
      </w:r>
      <w:r w:rsidRPr="00674BA4">
        <w:rPr>
          <w:rFonts w:ascii="Goudy Old Style" w:eastAsia="華康楷書體W3" w:hAnsi="Goudy Old Style" w:cs="Times New Roman"/>
          <w:szCs w:val="24"/>
        </w:rPr>
        <w:t>日成立，</w:t>
      </w:r>
      <w:r w:rsidRPr="00674BA4">
        <w:rPr>
          <w:rFonts w:ascii="Goudy Old Style" w:eastAsia="華康楷書體W3" w:hAnsi="Goudy Old Style" w:cs="Times New Roman"/>
          <w:szCs w:val="24"/>
        </w:rPr>
        <w:lastRenderedPageBreak/>
        <w:t>而當其欲參與選舉時，土耳其政府於同年</w:t>
      </w:r>
      <w:r w:rsidRPr="00674BA4">
        <w:rPr>
          <w:rFonts w:ascii="Goudy Old Style" w:eastAsia="華康楷書體W3" w:hAnsi="Goudy Old Style" w:cs="Times New Roman"/>
          <w:szCs w:val="24"/>
        </w:rPr>
        <w:t>6</w:t>
      </w:r>
      <w:r w:rsidRPr="00674BA4">
        <w:rPr>
          <w:rFonts w:ascii="Goudy Old Style" w:eastAsia="華康楷書體W3" w:hAnsi="Goudy Old Style" w:cs="Times New Roman"/>
          <w:szCs w:val="24"/>
        </w:rPr>
        <w:t>月</w:t>
      </w:r>
      <w:r w:rsidRPr="00674BA4">
        <w:rPr>
          <w:rFonts w:ascii="Goudy Old Style" w:eastAsia="華康楷書體W3" w:hAnsi="Goudy Old Style" w:cs="Times New Roman"/>
          <w:szCs w:val="24"/>
        </w:rPr>
        <w:t>14</w:t>
      </w:r>
      <w:r w:rsidRPr="00674BA4">
        <w:rPr>
          <w:rFonts w:ascii="Goudy Old Style" w:eastAsia="華康楷書體W3" w:hAnsi="Goudy Old Style" w:cs="Times New Roman"/>
          <w:szCs w:val="24"/>
        </w:rPr>
        <w:t>日申請解散該黨，</w:t>
      </w:r>
      <w:r w:rsidRPr="00674BA4">
        <w:rPr>
          <w:rFonts w:ascii="Goudy Old Style" w:eastAsia="華康楷書體W3" w:hAnsi="Goudy Old Style" w:cs="Times New Roman"/>
          <w:szCs w:val="24"/>
        </w:rPr>
        <w:t>1991</w:t>
      </w:r>
      <w:r w:rsidRPr="00674BA4">
        <w:rPr>
          <w:rFonts w:ascii="Goudy Old Style" w:eastAsia="華康楷書體W3" w:hAnsi="Goudy Old Style" w:cs="Times New Roman"/>
          <w:szCs w:val="24"/>
        </w:rPr>
        <w:t>年</w:t>
      </w:r>
      <w:r w:rsidRPr="00674BA4">
        <w:rPr>
          <w:rFonts w:ascii="Goudy Old Style" w:eastAsia="華康楷書體W3" w:hAnsi="Goudy Old Style" w:cs="Times New Roman"/>
          <w:szCs w:val="24"/>
        </w:rPr>
        <w:t>7</w:t>
      </w:r>
      <w:r w:rsidRPr="00674BA4">
        <w:rPr>
          <w:rFonts w:ascii="Goudy Old Style" w:eastAsia="華康楷書體W3" w:hAnsi="Goudy Old Style" w:cs="Times New Roman"/>
          <w:szCs w:val="24"/>
        </w:rPr>
        <w:t>月土耳其憲法法院命令解散該黨，原因是其使用共產黨的名稱，可能影響領土完整，同時其自稱為已被解散之「土耳其工人黨」（</w:t>
      </w:r>
      <w:r w:rsidRPr="00674BA4">
        <w:rPr>
          <w:rFonts w:ascii="Goudy Old Style" w:eastAsia="華康楷書體W3" w:hAnsi="Goudy Old Style" w:cs="Times New Roman"/>
          <w:szCs w:val="24"/>
        </w:rPr>
        <w:t>Turkish Workers’ Party</w:t>
      </w:r>
      <w:r w:rsidRPr="00674BA4">
        <w:rPr>
          <w:rFonts w:ascii="Goudy Old Style" w:eastAsia="華康楷書體W3" w:hAnsi="Goudy Old Style" w:cs="Times New Roman"/>
          <w:szCs w:val="24"/>
        </w:rPr>
        <w:t>）之繼承者。其次，在</w:t>
      </w:r>
      <w:r w:rsidRPr="00674BA4">
        <w:rPr>
          <w:rFonts w:ascii="Goudy Old Style" w:eastAsia="華康楷書體W3" w:hAnsi="Goudy Old Style" w:cs="Times New Roman"/>
          <w:i/>
          <w:szCs w:val="24"/>
        </w:rPr>
        <w:t>Socialist Party and Others v. Turkey</w:t>
      </w:r>
      <w:r w:rsidRPr="00674BA4">
        <w:rPr>
          <w:rFonts w:ascii="Goudy Old Style" w:eastAsia="華康楷書體W3" w:hAnsi="Goudy Old Style" w:cs="Times New Roman"/>
          <w:szCs w:val="24"/>
          <w:vertAlign w:val="superscript"/>
        </w:rPr>
        <w:footnoteReference w:id="17"/>
      </w:r>
      <w:r w:rsidRPr="00674BA4">
        <w:rPr>
          <w:rFonts w:ascii="Goudy Old Style" w:eastAsia="華康楷書體W3" w:hAnsi="Goudy Old Style" w:cs="Times New Roman"/>
          <w:szCs w:val="24"/>
        </w:rPr>
        <w:t xml:space="preserve"> </w:t>
      </w:r>
      <w:r w:rsidRPr="00674BA4">
        <w:rPr>
          <w:rFonts w:ascii="Goudy Old Style" w:eastAsia="華康楷書體W3" w:hAnsi="Goudy Old Style" w:cs="Times New Roman"/>
          <w:szCs w:val="24"/>
        </w:rPr>
        <w:t>一案中，「社會主義黨」（</w:t>
      </w:r>
      <w:r w:rsidRPr="00674BA4">
        <w:rPr>
          <w:rFonts w:ascii="Goudy Old Style" w:eastAsia="華康楷書體W3" w:hAnsi="Goudy Old Style" w:cs="Times New Roman"/>
          <w:szCs w:val="24"/>
        </w:rPr>
        <w:t>Socialist Party</w:t>
      </w:r>
      <w:r w:rsidRPr="00674BA4">
        <w:rPr>
          <w:rFonts w:ascii="Goudy Old Style" w:eastAsia="華康楷書體W3" w:hAnsi="Goudy Old Style" w:cs="Times New Roman"/>
          <w:szCs w:val="24"/>
        </w:rPr>
        <w:t>）於</w:t>
      </w:r>
      <w:r w:rsidRPr="00674BA4">
        <w:rPr>
          <w:rFonts w:ascii="Goudy Old Style" w:eastAsia="華康楷書體W3" w:hAnsi="Goudy Old Style" w:cs="Times New Roman"/>
          <w:szCs w:val="24"/>
        </w:rPr>
        <w:t>1988</w:t>
      </w:r>
      <w:r w:rsidRPr="00674BA4">
        <w:rPr>
          <w:rFonts w:ascii="Goudy Old Style" w:eastAsia="華康楷書體W3" w:hAnsi="Goudy Old Style" w:cs="Times New Roman"/>
          <w:szCs w:val="24"/>
        </w:rPr>
        <w:t>年</w:t>
      </w:r>
      <w:r w:rsidRPr="00674BA4">
        <w:rPr>
          <w:rFonts w:ascii="Goudy Old Style" w:eastAsia="華康楷書體W3" w:hAnsi="Goudy Old Style" w:cs="Times New Roman"/>
          <w:szCs w:val="24"/>
        </w:rPr>
        <w:t>2</w:t>
      </w:r>
      <w:r w:rsidRPr="00674BA4">
        <w:rPr>
          <w:rFonts w:ascii="Goudy Old Style" w:eastAsia="華康楷書體W3" w:hAnsi="Goudy Old Style" w:cs="Times New Roman"/>
          <w:szCs w:val="24"/>
        </w:rPr>
        <w:t>月</w:t>
      </w:r>
      <w:r w:rsidRPr="00674BA4">
        <w:rPr>
          <w:rFonts w:ascii="Goudy Old Style" w:eastAsia="華康楷書體W3" w:hAnsi="Goudy Old Style" w:cs="Times New Roman"/>
          <w:szCs w:val="24"/>
        </w:rPr>
        <w:t>1</w:t>
      </w:r>
      <w:r w:rsidRPr="00674BA4">
        <w:rPr>
          <w:rFonts w:ascii="Goudy Old Style" w:eastAsia="華康楷書體W3" w:hAnsi="Goudy Old Style" w:cs="Times New Roman"/>
          <w:szCs w:val="24"/>
        </w:rPr>
        <w:t>日成立，土耳其政府於同年</w:t>
      </w:r>
      <w:r w:rsidRPr="00674BA4">
        <w:rPr>
          <w:rFonts w:ascii="Goudy Old Style" w:eastAsia="華康楷書體W3" w:hAnsi="Goudy Old Style" w:cs="Times New Roman"/>
          <w:szCs w:val="24"/>
        </w:rPr>
        <w:t>2</w:t>
      </w:r>
      <w:r w:rsidRPr="00674BA4">
        <w:rPr>
          <w:rFonts w:ascii="Goudy Old Style" w:eastAsia="華康楷書體W3" w:hAnsi="Goudy Old Style" w:cs="Times New Roman"/>
          <w:szCs w:val="24"/>
        </w:rPr>
        <w:t>月</w:t>
      </w:r>
      <w:r w:rsidRPr="00674BA4">
        <w:rPr>
          <w:rFonts w:ascii="Goudy Old Style" w:eastAsia="華康楷書體W3" w:hAnsi="Goudy Old Style" w:cs="Times New Roman"/>
          <w:szCs w:val="24"/>
        </w:rPr>
        <w:t>15</w:t>
      </w:r>
      <w:r w:rsidRPr="00674BA4">
        <w:rPr>
          <w:rFonts w:ascii="Goudy Old Style" w:eastAsia="華康楷書體W3" w:hAnsi="Goudy Old Style" w:cs="Times New Roman"/>
          <w:szCs w:val="24"/>
        </w:rPr>
        <w:t>日申請解散該黨，但此次申請不為憲法法院所贊同，因此該黨得以參加</w:t>
      </w:r>
      <w:r w:rsidRPr="00674BA4">
        <w:rPr>
          <w:rFonts w:ascii="Goudy Old Style" w:eastAsia="華康楷書體W3" w:hAnsi="Goudy Old Style" w:cs="Times New Roman"/>
          <w:szCs w:val="24"/>
        </w:rPr>
        <w:t>1991</w:t>
      </w:r>
      <w:r w:rsidRPr="00674BA4">
        <w:rPr>
          <w:rFonts w:ascii="Goudy Old Style" w:eastAsia="華康楷書體W3" w:hAnsi="Goudy Old Style" w:cs="Times New Roman"/>
          <w:szCs w:val="24"/>
        </w:rPr>
        <w:t>年之選舉。但</w:t>
      </w:r>
      <w:r w:rsidRPr="00674BA4">
        <w:rPr>
          <w:rFonts w:ascii="Goudy Old Style" w:eastAsia="華康楷書體W3" w:hAnsi="Goudy Old Style" w:cs="Times New Roman"/>
          <w:szCs w:val="24"/>
        </w:rPr>
        <w:t>1991</w:t>
      </w:r>
      <w:r w:rsidRPr="00674BA4">
        <w:rPr>
          <w:rFonts w:ascii="Goudy Old Style" w:eastAsia="華康楷書體W3" w:hAnsi="Goudy Old Style" w:cs="Times New Roman"/>
          <w:szCs w:val="24"/>
        </w:rPr>
        <w:t>年</w:t>
      </w:r>
      <w:r w:rsidRPr="00674BA4">
        <w:rPr>
          <w:rFonts w:ascii="Goudy Old Style" w:eastAsia="華康楷書體W3" w:hAnsi="Goudy Old Style" w:cs="Times New Roman"/>
          <w:szCs w:val="24"/>
        </w:rPr>
        <w:t>11</w:t>
      </w:r>
      <w:r w:rsidRPr="00674BA4">
        <w:rPr>
          <w:rFonts w:ascii="Goudy Old Style" w:eastAsia="華康楷書體W3" w:hAnsi="Goudy Old Style" w:cs="Times New Roman"/>
          <w:szCs w:val="24"/>
        </w:rPr>
        <w:t>月土耳其政府再次申請解散該黨，而此次申請則為成功，憲法法院認為該黨選舉時之出版品及其主席言論之目的乃是鼓勵分離主義及支持獨立運動。</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歐洲人權法院認為兩案均違反「歐洲人權公約」第</w:t>
      </w:r>
      <w:r w:rsidRPr="00674BA4">
        <w:rPr>
          <w:rFonts w:ascii="Goudy Old Style" w:eastAsia="華康楷書體W3" w:hAnsi="Goudy Old Style" w:cs="Times New Roman"/>
          <w:szCs w:val="24"/>
        </w:rPr>
        <w:t>11</w:t>
      </w:r>
      <w:r w:rsidRPr="00674BA4">
        <w:rPr>
          <w:rFonts w:ascii="Goudy Old Style" w:eastAsia="華康楷書體W3" w:hAnsi="Goudy Old Style" w:cs="Times New Roman"/>
          <w:szCs w:val="24"/>
        </w:rPr>
        <w:t>條有關結社自由權之規定，但是就有關「歐洲人權公約第一議定書」第</w:t>
      </w:r>
      <w:r w:rsidRPr="00674BA4">
        <w:rPr>
          <w:rFonts w:ascii="Goudy Old Style" w:eastAsia="華康楷書體W3" w:hAnsi="Goudy Old Style" w:cs="Times New Roman"/>
          <w:szCs w:val="24"/>
        </w:rPr>
        <w:t>3</w:t>
      </w:r>
      <w:r w:rsidRPr="00674BA4">
        <w:rPr>
          <w:rFonts w:ascii="Goudy Old Style" w:eastAsia="華康楷書體W3" w:hAnsi="Goudy Old Style" w:cs="Times New Roman"/>
          <w:szCs w:val="24"/>
        </w:rPr>
        <w:t>條之部份，歐洲人權法院則認為因為其已判決違反第</w:t>
      </w:r>
      <w:r w:rsidRPr="00674BA4">
        <w:rPr>
          <w:rFonts w:ascii="Goudy Old Style" w:eastAsia="華康楷書體W3" w:hAnsi="Goudy Old Style" w:cs="Times New Roman"/>
          <w:szCs w:val="24"/>
        </w:rPr>
        <w:t>11</w:t>
      </w:r>
      <w:r w:rsidRPr="00674BA4">
        <w:rPr>
          <w:rFonts w:ascii="Goudy Old Style" w:eastAsia="華康楷書體W3" w:hAnsi="Goudy Old Style" w:cs="Times New Roman"/>
          <w:szCs w:val="24"/>
        </w:rPr>
        <w:t>條之規定，所以無需另外審查是否有違反自由選舉之規定</w:t>
      </w:r>
      <w:r w:rsidRPr="00674BA4">
        <w:rPr>
          <w:rFonts w:ascii="Goudy Old Style" w:eastAsia="華康楷書體W3" w:hAnsi="Goudy Old Style" w:cs="Times New Roman"/>
          <w:szCs w:val="24"/>
          <w:vertAlign w:val="superscript"/>
        </w:rPr>
        <w:footnoteReference w:id="18"/>
      </w:r>
      <w:r w:rsidRPr="00674BA4">
        <w:rPr>
          <w:rFonts w:ascii="Goudy Old Style" w:eastAsia="華康楷書體W3" w:hAnsi="Goudy Old Style" w:cs="Times New Roman"/>
          <w:szCs w:val="24"/>
        </w:rPr>
        <w:t>。</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當然歐洲人權法院強調在民主社會中組織政黨是非常重要之結社權，因而可以推論說歐洲人權法院亦會認定政黨在自由選舉中亦是扮演重要角色，並且認為解散政黨其實是影響自由選舉之本質的。但是歐洲人權法院之推論方法值得</w:t>
      </w:r>
      <w:proofErr w:type="gramStart"/>
      <w:r w:rsidRPr="00674BA4">
        <w:rPr>
          <w:rFonts w:ascii="Goudy Old Style" w:eastAsia="華康楷書體W3" w:hAnsi="Goudy Old Style" w:cs="Times New Roman"/>
          <w:szCs w:val="24"/>
        </w:rPr>
        <w:t>商確。</w:t>
      </w:r>
      <w:proofErr w:type="gramEnd"/>
      <w:r w:rsidRPr="00674BA4">
        <w:rPr>
          <w:rFonts w:ascii="Goudy Old Style" w:eastAsia="華康楷書體W3" w:hAnsi="Goudy Old Style" w:cs="Times New Roman"/>
          <w:szCs w:val="24"/>
        </w:rPr>
        <w:t>案件中其實申請人等指控土耳其違反「歐洲人權公約」第</w:t>
      </w:r>
      <w:r w:rsidRPr="00674BA4">
        <w:rPr>
          <w:rFonts w:ascii="Goudy Old Style" w:eastAsia="華康楷書體W3" w:hAnsi="Goudy Old Style" w:cs="Times New Roman"/>
          <w:szCs w:val="24"/>
        </w:rPr>
        <w:t>9</w:t>
      </w:r>
      <w:r w:rsidRPr="00674BA4">
        <w:rPr>
          <w:rFonts w:ascii="Goudy Old Style" w:eastAsia="華康楷書體W3" w:hAnsi="Goudy Old Style" w:cs="Times New Roman"/>
          <w:szCs w:val="24"/>
        </w:rPr>
        <w:t>條、第</w:t>
      </w:r>
      <w:r w:rsidRPr="00674BA4">
        <w:rPr>
          <w:rFonts w:ascii="Goudy Old Style" w:eastAsia="華康楷書體W3" w:hAnsi="Goudy Old Style" w:cs="Times New Roman"/>
          <w:szCs w:val="24"/>
        </w:rPr>
        <w:t>10</w:t>
      </w:r>
      <w:r w:rsidRPr="00674BA4">
        <w:rPr>
          <w:rFonts w:ascii="Goudy Old Style" w:eastAsia="華康楷書體W3" w:hAnsi="Goudy Old Style" w:cs="Times New Roman"/>
          <w:szCs w:val="24"/>
        </w:rPr>
        <w:t>條、第</w:t>
      </w:r>
      <w:r w:rsidRPr="00674BA4">
        <w:rPr>
          <w:rFonts w:ascii="Goudy Old Style" w:eastAsia="華康楷書體W3" w:hAnsi="Goudy Old Style" w:cs="Times New Roman"/>
          <w:szCs w:val="24"/>
        </w:rPr>
        <w:t>11</w:t>
      </w:r>
      <w:r w:rsidRPr="00674BA4">
        <w:rPr>
          <w:rFonts w:ascii="Goudy Old Style" w:eastAsia="華康楷書體W3" w:hAnsi="Goudy Old Style" w:cs="Times New Roman"/>
          <w:szCs w:val="24"/>
        </w:rPr>
        <w:t>條、第</w:t>
      </w:r>
      <w:r w:rsidRPr="00674BA4">
        <w:rPr>
          <w:rFonts w:ascii="Goudy Old Style" w:eastAsia="華康楷書體W3" w:hAnsi="Goudy Old Style" w:cs="Times New Roman"/>
          <w:szCs w:val="24"/>
        </w:rPr>
        <w:t>14</w:t>
      </w:r>
      <w:r w:rsidRPr="00674BA4">
        <w:rPr>
          <w:rFonts w:ascii="Goudy Old Style" w:eastAsia="華康楷書體W3" w:hAnsi="Goudy Old Style" w:cs="Times New Roman"/>
          <w:szCs w:val="24"/>
        </w:rPr>
        <w:t>條、第</w:t>
      </w:r>
      <w:r w:rsidRPr="00674BA4">
        <w:rPr>
          <w:rFonts w:ascii="Goudy Old Style" w:eastAsia="華康楷書體W3" w:hAnsi="Goudy Old Style" w:cs="Times New Roman"/>
          <w:szCs w:val="24"/>
        </w:rPr>
        <w:t>18</w:t>
      </w:r>
      <w:r w:rsidRPr="00674BA4">
        <w:rPr>
          <w:rFonts w:ascii="Goudy Old Style" w:eastAsia="華康楷書體W3" w:hAnsi="Goudy Old Style" w:cs="Times New Roman"/>
          <w:szCs w:val="24"/>
        </w:rPr>
        <w:t>條及「歐洲人權公約第一議定書」第</w:t>
      </w:r>
      <w:r w:rsidRPr="00674BA4">
        <w:rPr>
          <w:rFonts w:ascii="Goudy Old Style" w:eastAsia="華康楷書體W3" w:hAnsi="Goudy Old Style" w:cs="Times New Roman"/>
          <w:szCs w:val="24"/>
        </w:rPr>
        <w:t>3</w:t>
      </w:r>
      <w:r w:rsidRPr="00674BA4">
        <w:rPr>
          <w:rFonts w:ascii="Goudy Old Style" w:eastAsia="華康楷書體W3" w:hAnsi="Goudy Old Style" w:cs="Times New Roman"/>
          <w:szCs w:val="24"/>
        </w:rPr>
        <w:t>條，而歐洲人權法院</w:t>
      </w:r>
      <w:r w:rsidRPr="00674BA4">
        <w:rPr>
          <w:rFonts w:ascii="Goudy Old Style" w:eastAsia="華康楷書體W3" w:hAnsi="Goudy Old Style" w:cs="Times New Roman"/>
          <w:szCs w:val="24"/>
        </w:rPr>
        <w:lastRenderedPageBreak/>
        <w:t>則只著重於認定案件是否違反「歐洲人權公約」第</w:t>
      </w:r>
      <w:r w:rsidRPr="00674BA4">
        <w:rPr>
          <w:rFonts w:ascii="Goudy Old Style" w:eastAsia="華康楷書體W3" w:hAnsi="Goudy Old Style" w:cs="Times New Roman"/>
          <w:szCs w:val="24"/>
        </w:rPr>
        <w:t>11</w:t>
      </w:r>
      <w:r w:rsidRPr="00674BA4">
        <w:rPr>
          <w:rFonts w:ascii="Goudy Old Style" w:eastAsia="華康楷書體W3" w:hAnsi="Goudy Old Style" w:cs="Times New Roman"/>
          <w:szCs w:val="24"/>
        </w:rPr>
        <w:t>條而已，待其認定案件違反「歐洲人權公約」第</w:t>
      </w:r>
      <w:r w:rsidRPr="00674BA4">
        <w:rPr>
          <w:rFonts w:ascii="Goudy Old Style" w:eastAsia="華康楷書體W3" w:hAnsi="Goudy Old Style" w:cs="Times New Roman"/>
          <w:szCs w:val="24"/>
        </w:rPr>
        <w:t>11</w:t>
      </w:r>
      <w:r w:rsidRPr="00674BA4">
        <w:rPr>
          <w:rFonts w:ascii="Goudy Old Style" w:eastAsia="華康楷書體W3" w:hAnsi="Goudy Old Style" w:cs="Times New Roman"/>
          <w:szCs w:val="24"/>
        </w:rPr>
        <w:t>條之後，歐洲人權法院便認為其無需認定案件是否違反其他條文之規定，歐洲人權法院的邏輯似乎是認為只要有認定被告國家有違反「歐洲人權公約」某一部份時，此國家即處於敗訴之情境，如此便能符合申請人之需求，歐洲人權法院似乎在此兩案件中只著重於勝訴與敗訴之認定，但卻未完整審理申請人之請求。司法機關故有不告不理之被動原則，但是如有「告而不理」之情形時，司法機關恐怕是未善盡責任的，歐洲人權法院之設立乃是為了確保各會員會遵守「歐洲人權公約」及其議定書之規定</w:t>
      </w:r>
      <w:r w:rsidRPr="00674BA4">
        <w:rPr>
          <w:rFonts w:ascii="Goudy Old Style" w:eastAsia="華康楷書體W3" w:hAnsi="Goudy Old Style" w:cs="Times New Roman"/>
          <w:szCs w:val="24"/>
          <w:vertAlign w:val="superscript"/>
        </w:rPr>
        <w:footnoteReference w:id="19"/>
      </w:r>
      <w:r w:rsidRPr="00674BA4">
        <w:rPr>
          <w:rFonts w:ascii="Goudy Old Style" w:eastAsia="華康楷書體W3" w:hAnsi="Goudy Old Style" w:cs="Times New Roman"/>
          <w:szCs w:val="24"/>
        </w:rPr>
        <w:t>（</w:t>
      </w:r>
      <w:r w:rsidRPr="00674BA4">
        <w:rPr>
          <w:rFonts w:ascii="Goudy Old Style" w:eastAsia="華康楷書體W3" w:hAnsi="Goudy Old Style" w:cs="Times New Roman"/>
          <w:szCs w:val="24"/>
        </w:rPr>
        <w:t>to ensure the observance of the engagements undertaken by the High Contracting Parties in the Convention and the Protocols thereto</w:t>
      </w:r>
      <w:r w:rsidRPr="00674BA4">
        <w:rPr>
          <w:rFonts w:ascii="Goudy Old Style" w:eastAsia="華康楷書體W3" w:hAnsi="Goudy Old Style" w:cs="Times New Roman"/>
          <w:szCs w:val="24"/>
        </w:rPr>
        <w:t>），而此所謂之「確保各會員會遵守「歐洲人權公約」及其議定書之規定」應該不是指</w:t>
      </w:r>
      <w:proofErr w:type="gramStart"/>
      <w:r w:rsidRPr="00674BA4">
        <w:rPr>
          <w:rFonts w:ascii="Goudy Old Style" w:eastAsia="華康楷書體W3" w:hAnsi="Goudy Old Style" w:cs="Times New Roman"/>
          <w:szCs w:val="24"/>
        </w:rPr>
        <w:t>一</w:t>
      </w:r>
      <w:proofErr w:type="gramEnd"/>
      <w:r w:rsidRPr="00674BA4">
        <w:rPr>
          <w:rFonts w:ascii="Goudy Old Style" w:eastAsia="華康楷書體W3" w:hAnsi="Goudy Old Style" w:cs="Times New Roman"/>
          <w:szCs w:val="24"/>
        </w:rPr>
        <w:t>案件中只保障一項權利，而是每一案件</w:t>
      </w:r>
      <w:proofErr w:type="gramStart"/>
      <w:r w:rsidRPr="00674BA4">
        <w:rPr>
          <w:rFonts w:ascii="Goudy Old Style" w:eastAsia="華康楷書體W3" w:hAnsi="Goudy Old Style" w:cs="Times New Roman"/>
          <w:szCs w:val="24"/>
        </w:rPr>
        <w:t>中均能保障</w:t>
      </w:r>
      <w:proofErr w:type="gramEnd"/>
      <w:r w:rsidRPr="00674BA4">
        <w:rPr>
          <w:rFonts w:ascii="Goudy Old Style" w:eastAsia="華康楷書體W3" w:hAnsi="Goudy Old Style" w:cs="Times New Roman"/>
          <w:szCs w:val="24"/>
        </w:rPr>
        <w:t>每一種相關之權利與自由，歐洲人權法院在此兩案件中之方法似乎只確保案件中的「核心權利」，而只要有認定違反「歐洲人權公約」之情況時，因為形式上一定是敗訴判決，便無需再認定是否有違反其他權利或自由之情形，這種方法對歐洲人權法院而言當然是一種較便利的方法，但是這種推論一方面影響當事人之權益，因為既使無法得到更多的賠償，但是單純的宣告違反「歐洲人權公約」亦是當事人非常重要之判決，當事人可進而在國內法院救濟，更進一步地是將因此而促使國內法之修改，使其符合「歐洲人權公約」之規定，相對地其實也是減少未來</w:t>
      </w:r>
      <w:proofErr w:type="gramStart"/>
      <w:r w:rsidRPr="00674BA4">
        <w:rPr>
          <w:rFonts w:ascii="Goudy Old Style" w:eastAsia="華康楷書體W3" w:hAnsi="Goudy Old Style" w:cs="Times New Roman"/>
          <w:szCs w:val="24"/>
        </w:rPr>
        <w:t>訟</w:t>
      </w:r>
      <w:proofErr w:type="gramEnd"/>
      <w:r w:rsidRPr="00674BA4">
        <w:rPr>
          <w:rFonts w:ascii="Goudy Old Style" w:eastAsia="華康楷書體W3" w:hAnsi="Goudy Old Style" w:cs="Times New Roman"/>
          <w:szCs w:val="24"/>
        </w:rPr>
        <w:t>源</w:t>
      </w:r>
      <w:r w:rsidRPr="00674BA4">
        <w:rPr>
          <w:rFonts w:ascii="Goudy Old Style" w:eastAsia="華康楷書體W3" w:hAnsi="Goudy Old Style" w:cs="Times New Roman"/>
          <w:szCs w:val="24"/>
        </w:rPr>
        <w:lastRenderedPageBreak/>
        <w:t>的方法。另一方面亦可說歐洲人權法院其實未善盡責任，因為有部份「告而不理」之情形，其實如果歐洲人權法院在這些案件中將更多議題</w:t>
      </w:r>
      <w:proofErr w:type="gramStart"/>
      <w:r w:rsidRPr="00674BA4">
        <w:rPr>
          <w:rFonts w:ascii="Goudy Old Style" w:eastAsia="華康楷書體W3" w:hAnsi="Goudy Old Style" w:cs="Times New Roman"/>
          <w:szCs w:val="24"/>
        </w:rPr>
        <w:t>釐</w:t>
      </w:r>
      <w:proofErr w:type="gramEnd"/>
      <w:r w:rsidRPr="00674BA4">
        <w:rPr>
          <w:rFonts w:ascii="Goudy Old Style" w:eastAsia="華康楷書體W3" w:hAnsi="Goudy Old Style" w:cs="Times New Roman"/>
          <w:szCs w:val="24"/>
        </w:rPr>
        <w:t>清，有助於各國未來之實踐，因為「歐洲人權公約」幾乎在所有</w:t>
      </w:r>
      <w:proofErr w:type="gramStart"/>
      <w:r w:rsidRPr="00674BA4">
        <w:rPr>
          <w:rFonts w:ascii="Goudy Old Style" w:eastAsia="華康楷書體W3" w:hAnsi="Goudy Old Style" w:cs="Times New Roman"/>
          <w:szCs w:val="24"/>
        </w:rPr>
        <w:t>會員國均有國內</w:t>
      </w:r>
      <w:proofErr w:type="gramEnd"/>
      <w:r w:rsidRPr="00674BA4">
        <w:rPr>
          <w:rFonts w:ascii="Goudy Old Style" w:eastAsia="華康楷書體W3" w:hAnsi="Goudy Old Style" w:cs="Times New Roman"/>
          <w:szCs w:val="24"/>
        </w:rPr>
        <w:t>法地位，各會員國可據此為其國內法判決之基礎，相對地「歐洲人權公約」亦可將這些判決作為其未來論證之基準，如此才能建立準則，而不是將建立準則之機會留待以後審理相類似案件時才處理。時間拖延是一損失，準則的不明確更是傷害。</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另外令人驚訝的是土耳其早在</w:t>
      </w:r>
      <w:r w:rsidRPr="00674BA4">
        <w:rPr>
          <w:rFonts w:ascii="Goudy Old Style" w:eastAsia="華康楷書體W3" w:hAnsi="Goudy Old Style" w:cs="Times New Roman"/>
          <w:szCs w:val="24"/>
        </w:rPr>
        <w:t>1954</w:t>
      </w:r>
      <w:r w:rsidRPr="00674BA4">
        <w:rPr>
          <w:rFonts w:ascii="Goudy Old Style" w:eastAsia="華康楷書體W3" w:hAnsi="Goudy Old Style" w:cs="Times New Roman"/>
          <w:szCs w:val="24"/>
        </w:rPr>
        <w:t>年</w:t>
      </w:r>
      <w:r w:rsidRPr="00674BA4">
        <w:rPr>
          <w:rFonts w:ascii="Goudy Old Style" w:eastAsia="華康楷書體W3" w:hAnsi="Goudy Old Style" w:cs="Times New Roman"/>
          <w:szCs w:val="24"/>
        </w:rPr>
        <w:t>5</w:t>
      </w:r>
      <w:r w:rsidRPr="00674BA4">
        <w:rPr>
          <w:rFonts w:ascii="Goudy Old Style" w:eastAsia="華康楷書體W3" w:hAnsi="Goudy Old Style" w:cs="Times New Roman"/>
          <w:szCs w:val="24"/>
        </w:rPr>
        <w:t>月便批准「歐洲人權公約」</w:t>
      </w:r>
      <w:proofErr w:type="gramStart"/>
      <w:r w:rsidRPr="00674BA4">
        <w:rPr>
          <w:rFonts w:ascii="Goudy Old Style" w:eastAsia="華康楷書體W3" w:hAnsi="Goudy Old Style" w:cs="Times New Roman"/>
          <w:szCs w:val="24"/>
        </w:rPr>
        <w:t>第一議書</w:t>
      </w:r>
      <w:proofErr w:type="gramEnd"/>
      <w:r w:rsidRPr="00674BA4">
        <w:rPr>
          <w:rFonts w:ascii="Goudy Old Style" w:eastAsia="華康楷書體W3" w:hAnsi="Goudy Old Style" w:cs="Times New Roman"/>
          <w:szCs w:val="24"/>
          <w:vertAlign w:val="superscript"/>
        </w:rPr>
        <w:footnoteReference w:id="20"/>
      </w:r>
      <w:r w:rsidRPr="00674BA4">
        <w:rPr>
          <w:rFonts w:ascii="Goudy Old Style" w:eastAsia="華康楷書體W3" w:hAnsi="Goudy Old Style" w:cs="Times New Roman"/>
          <w:szCs w:val="24"/>
        </w:rPr>
        <w:t>，當時因為土耳其的批准才使「歐洲人權公約第一議定書」生效。但是到了</w:t>
      </w:r>
      <w:proofErr w:type="gramStart"/>
      <w:r w:rsidRPr="00674BA4">
        <w:rPr>
          <w:rFonts w:ascii="Goudy Old Style" w:eastAsia="華康楷書體W3" w:hAnsi="Goudy Old Style" w:cs="Times New Roman"/>
          <w:szCs w:val="24"/>
        </w:rPr>
        <w:t>1990</w:t>
      </w:r>
      <w:proofErr w:type="gramEnd"/>
      <w:r w:rsidRPr="00674BA4">
        <w:rPr>
          <w:rFonts w:ascii="Goudy Old Style" w:eastAsia="華康楷書體W3" w:hAnsi="Goudy Old Style" w:cs="Times New Roman"/>
          <w:szCs w:val="24"/>
        </w:rPr>
        <w:t>年代土耳其依然發生解散政黨之情況，由此可見批准人權條約</w:t>
      </w:r>
      <w:proofErr w:type="gramStart"/>
      <w:r w:rsidRPr="00674BA4">
        <w:rPr>
          <w:rFonts w:ascii="Goudy Old Style" w:eastAsia="華康楷書體W3" w:hAnsi="Goudy Old Style" w:cs="Times New Roman"/>
          <w:szCs w:val="24"/>
        </w:rPr>
        <w:t>不</w:t>
      </w:r>
      <w:proofErr w:type="gramEnd"/>
      <w:r w:rsidRPr="00674BA4">
        <w:rPr>
          <w:rFonts w:ascii="Goudy Old Style" w:eastAsia="華康楷書體W3" w:hAnsi="Goudy Old Style" w:cs="Times New Roman"/>
          <w:szCs w:val="24"/>
        </w:rPr>
        <w:t>必然等同於人權的改善，更需要實質的落實，而其中國際力量可能是重要的源泉，以進一步促使國內的人權改善。</w:t>
      </w:r>
    </w:p>
    <w:p w:rsidR="00674BA4" w:rsidRPr="00674BA4" w:rsidRDefault="00674BA4" w:rsidP="00674BA4">
      <w:pPr>
        <w:spacing w:line="300" w:lineRule="auto"/>
        <w:ind w:firstLineChars="200" w:firstLine="480"/>
        <w:jc w:val="both"/>
        <w:rPr>
          <w:rFonts w:ascii="Goudy Old Style" w:eastAsia="華康楷書體W3" w:hAnsi="Goudy Old Style" w:cs="Times New Roman"/>
          <w:b/>
          <w:szCs w:val="24"/>
        </w:rPr>
      </w:pPr>
      <w:r w:rsidRPr="00674BA4">
        <w:rPr>
          <w:rFonts w:ascii="Goudy Old Style" w:eastAsia="華康楷書體W3" w:hAnsi="Goudy Old Style" w:cs="Times New Roman"/>
          <w:b/>
          <w:szCs w:val="24"/>
        </w:rPr>
        <w:t>（三）宣誓就職</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自由選舉權不只是包含被選舉權而已，有時候亦牽涉是否需要限制宣誓就職之語言及內容，否則亦相當程度影響當選人依選民所</w:t>
      </w:r>
      <w:proofErr w:type="gramStart"/>
      <w:r w:rsidRPr="00674BA4">
        <w:rPr>
          <w:rFonts w:ascii="Goudy Old Style" w:eastAsia="華康楷書體W3" w:hAnsi="Goudy Old Style" w:cs="Times New Roman"/>
          <w:szCs w:val="24"/>
        </w:rPr>
        <w:t>託</w:t>
      </w:r>
      <w:proofErr w:type="gramEnd"/>
      <w:r w:rsidRPr="00674BA4">
        <w:rPr>
          <w:rFonts w:ascii="Goudy Old Style" w:eastAsia="華康楷書體W3" w:hAnsi="Goudy Old Style" w:cs="Times New Roman"/>
          <w:szCs w:val="24"/>
        </w:rPr>
        <w:t>行使權利。</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i/>
          <w:szCs w:val="24"/>
        </w:rPr>
        <w:t>Mathieu-</w:t>
      </w:r>
      <w:proofErr w:type="spellStart"/>
      <w:r w:rsidRPr="00674BA4">
        <w:rPr>
          <w:rFonts w:ascii="Goudy Old Style" w:eastAsia="華康楷書體W3" w:hAnsi="Goudy Old Style" w:cs="Times New Roman"/>
          <w:i/>
          <w:szCs w:val="24"/>
        </w:rPr>
        <w:t>Mohin</w:t>
      </w:r>
      <w:proofErr w:type="spellEnd"/>
      <w:r w:rsidRPr="00674BA4">
        <w:rPr>
          <w:rFonts w:ascii="Goudy Old Style" w:eastAsia="華康楷書體W3" w:hAnsi="Goudy Old Style" w:cs="Times New Roman"/>
          <w:i/>
          <w:szCs w:val="24"/>
        </w:rPr>
        <w:t xml:space="preserve"> and </w:t>
      </w:r>
      <w:proofErr w:type="spellStart"/>
      <w:r w:rsidRPr="00674BA4">
        <w:rPr>
          <w:rFonts w:ascii="Goudy Old Style" w:eastAsia="華康楷書體W3" w:hAnsi="Goudy Old Style" w:cs="Times New Roman"/>
          <w:i/>
          <w:szCs w:val="24"/>
        </w:rPr>
        <w:t>Clerfayt</w:t>
      </w:r>
      <w:proofErr w:type="spellEnd"/>
      <w:r w:rsidRPr="00674BA4">
        <w:rPr>
          <w:rFonts w:ascii="Goudy Old Style" w:eastAsia="華康楷書體W3" w:hAnsi="Goudy Old Style" w:cs="Times New Roman"/>
          <w:i/>
          <w:szCs w:val="24"/>
        </w:rPr>
        <w:t xml:space="preserve"> v. Belgium</w:t>
      </w:r>
      <w:r w:rsidRPr="00674BA4">
        <w:rPr>
          <w:rFonts w:ascii="Goudy Old Style" w:eastAsia="華康楷書體W3" w:hAnsi="Goudy Old Style" w:cs="Times New Roman"/>
          <w:szCs w:val="24"/>
          <w:vertAlign w:val="superscript"/>
        </w:rPr>
        <w:footnoteReference w:id="21"/>
      </w:r>
      <w:r w:rsidRPr="00674BA4">
        <w:rPr>
          <w:rFonts w:ascii="Goudy Old Style" w:eastAsia="華康楷書體W3" w:hAnsi="Goudy Old Style" w:cs="Times New Roman"/>
          <w:szCs w:val="24"/>
        </w:rPr>
        <w:t>一案有關宣誓就職所使用之語言，兩位申請人均使用法語，但是居住於比利時布魯塞爾之多數使用荷蘭語之區域。當時比利時選舉區劃分乃是由法律區分法語區及荷語區，而非由當選人所使用之語言決</w:t>
      </w:r>
      <w:r w:rsidRPr="00674BA4">
        <w:rPr>
          <w:rFonts w:ascii="Goudy Old Style" w:eastAsia="華康楷書體W3" w:hAnsi="Goudy Old Style" w:cs="Times New Roman"/>
          <w:szCs w:val="24"/>
        </w:rPr>
        <w:lastRenderedPageBreak/>
        <w:t>定，所以既使申請人以法語宣誓就職，但是他們是由荷語區選出，因此形式上依然代表荷語區之選民，然而他們卻不能參與布魯塞爾選區中的</w:t>
      </w:r>
      <w:r w:rsidRPr="00674BA4">
        <w:rPr>
          <w:rFonts w:ascii="Goudy Old Style" w:eastAsia="華康楷書體W3" w:hAnsi="Goudy Old Style" w:cs="Times New Roman"/>
          <w:szCs w:val="24"/>
        </w:rPr>
        <w:t>Flemish Council</w:t>
      </w:r>
      <w:r w:rsidRPr="00674BA4">
        <w:rPr>
          <w:rFonts w:ascii="Goudy Old Style" w:eastAsia="華康楷書體W3" w:hAnsi="Goudy Old Style" w:cs="Times New Roman"/>
          <w:szCs w:val="24"/>
        </w:rPr>
        <w:t>，所以申請人認為無法在荷語區中選任說法語選民之代表是違反自由選舉權的。</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歐洲人權法院認為雖然選民並非全然依其語言及文化而投票，但是語言優先次序在像比利時這種雙語國家是影響人民投票之主要因素。而歐洲人權法院則由比利時法律之立法目的及判斷餘地原則兩個面向，認定比利時未違反「歐洲人權公約第一議定書」第</w:t>
      </w:r>
      <w:r w:rsidRPr="00674BA4">
        <w:rPr>
          <w:rFonts w:ascii="Goudy Old Style" w:eastAsia="華康楷書體W3" w:hAnsi="Goudy Old Style" w:cs="Times New Roman"/>
          <w:szCs w:val="24"/>
        </w:rPr>
        <w:t>3</w:t>
      </w:r>
      <w:r w:rsidRPr="00674BA4">
        <w:rPr>
          <w:rFonts w:ascii="Goudy Old Style" w:eastAsia="華康楷書體W3" w:hAnsi="Goudy Old Style" w:cs="Times New Roman"/>
          <w:szCs w:val="24"/>
        </w:rPr>
        <w:t>條</w:t>
      </w:r>
      <w:r w:rsidRPr="00674BA4">
        <w:rPr>
          <w:rFonts w:ascii="Goudy Old Style" w:eastAsia="華康楷書體W3" w:hAnsi="Goudy Old Style" w:cs="Times New Roman"/>
          <w:szCs w:val="24"/>
          <w:vertAlign w:val="superscript"/>
        </w:rPr>
        <w:footnoteReference w:id="22"/>
      </w:r>
      <w:r w:rsidRPr="00674BA4">
        <w:rPr>
          <w:rFonts w:ascii="Goudy Old Style" w:eastAsia="華康楷書體W3" w:hAnsi="Goudy Old Style" w:cs="Times New Roman"/>
          <w:szCs w:val="24"/>
        </w:rPr>
        <w:t>。歐洲人權法院認為比利時法語區之人民有與荷語區人民相同之選舉權及被選舉權，只是其選舉區劃分乃是依據領域原則（</w:t>
      </w:r>
      <w:r w:rsidRPr="00674BA4">
        <w:rPr>
          <w:rFonts w:ascii="Goudy Old Style" w:eastAsia="華康楷書體W3" w:hAnsi="Goudy Old Style" w:cs="Times New Roman"/>
          <w:szCs w:val="24"/>
        </w:rPr>
        <w:t>territoriality principle</w:t>
      </w:r>
      <w:r w:rsidRPr="00674BA4">
        <w:rPr>
          <w:rFonts w:ascii="Goudy Old Style" w:eastAsia="華康楷書體W3" w:hAnsi="Goudy Old Style" w:cs="Times New Roman"/>
          <w:szCs w:val="24"/>
        </w:rPr>
        <w:t>）而劃分成許多不同語言的選舉區，而從那一種語言區選出者，便需以那一種語言宣誓。歐洲人權法院認為在其他歐洲國家亦有類似制度，而此制度並不必然威脅少數族群之權利，其影響是選舉人必需選出「願意」且「能夠」說當地語言區之人選。其次，就判斷餘地而言，歐洲人權法院認為比利時不僅享有判斷餘地，且享有更廣泛之判斷餘地，原因是比利時當時正進行其國會選舉制度之改革，而在判決時尚未完成。</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另一案件則是有關宣誓之內容，在</w:t>
      </w:r>
      <w:r w:rsidRPr="00674BA4">
        <w:rPr>
          <w:rFonts w:ascii="Goudy Old Style" w:eastAsia="華康楷書體W3" w:hAnsi="Goudy Old Style" w:cs="Times New Roman"/>
          <w:i/>
          <w:szCs w:val="24"/>
        </w:rPr>
        <w:t>Martin McGuinness v. the United Kingdom</w:t>
      </w:r>
      <w:r w:rsidRPr="00674BA4">
        <w:rPr>
          <w:rFonts w:ascii="Goudy Old Style" w:eastAsia="華康楷書體W3" w:hAnsi="Goudy Old Style" w:cs="Times New Roman"/>
          <w:szCs w:val="24"/>
          <w:vertAlign w:val="superscript"/>
        </w:rPr>
        <w:footnoteReference w:id="23"/>
      </w:r>
      <w:r w:rsidRPr="00674BA4">
        <w:rPr>
          <w:rFonts w:ascii="Goudy Old Style" w:eastAsia="華康楷書體W3" w:hAnsi="Goudy Old Style" w:cs="Times New Roman"/>
          <w:szCs w:val="24"/>
        </w:rPr>
        <w:t>一案中，申請人為愛爾蘭人，但是其在</w:t>
      </w:r>
      <w:r w:rsidRPr="00674BA4">
        <w:rPr>
          <w:rFonts w:ascii="Goudy Old Style" w:eastAsia="華康楷書體W3" w:hAnsi="Goudy Old Style" w:cs="Times New Roman"/>
          <w:szCs w:val="24"/>
        </w:rPr>
        <w:t>1997</w:t>
      </w:r>
      <w:r w:rsidRPr="00674BA4">
        <w:rPr>
          <w:rFonts w:ascii="Goudy Old Style" w:eastAsia="華康楷書體W3" w:hAnsi="Goudy Old Style" w:cs="Times New Roman"/>
          <w:szCs w:val="24"/>
        </w:rPr>
        <w:t>年英國大選時在北愛爾蘭當選國會議員，選舉過程中他向選民保證，他將堅持</w:t>
      </w:r>
      <w:r w:rsidRPr="00674BA4">
        <w:rPr>
          <w:rFonts w:ascii="Goudy Old Style" w:eastAsia="華康楷書體W3" w:hAnsi="Goudy Old Style" w:cs="Times New Roman"/>
          <w:szCs w:val="24"/>
        </w:rPr>
        <w:t>Sinn Fein</w:t>
      </w:r>
      <w:r w:rsidRPr="00674BA4">
        <w:rPr>
          <w:rFonts w:ascii="Goudy Old Style" w:eastAsia="華康楷書體W3" w:hAnsi="Goudy Old Style" w:cs="Times New Roman"/>
          <w:szCs w:val="24"/>
        </w:rPr>
        <w:t>黨之政策，既使當選後亦不</w:t>
      </w:r>
      <w:r w:rsidRPr="00674BA4">
        <w:rPr>
          <w:rFonts w:ascii="Goudy Old Style" w:eastAsia="華康楷書體W3" w:hAnsi="Goudy Old Style" w:cs="Times New Roman"/>
          <w:szCs w:val="24"/>
        </w:rPr>
        <w:lastRenderedPageBreak/>
        <w:t>會宣誓向英國皇室效忠，申請人當選後亦堅持其理念，英國國會下議院議長乃正式通知申請人，因為其未依法律規定宣誓，所以不能使用國會任何設施及服務，申請人認為此項宣誓要求及其後續限制違反「歐洲人權公約第一議定書」第</w:t>
      </w:r>
      <w:r w:rsidRPr="00674BA4">
        <w:rPr>
          <w:rFonts w:ascii="Goudy Old Style" w:eastAsia="華康楷書體W3" w:hAnsi="Goudy Old Style" w:cs="Times New Roman"/>
          <w:szCs w:val="24"/>
        </w:rPr>
        <w:t>3</w:t>
      </w:r>
      <w:r w:rsidRPr="00674BA4">
        <w:rPr>
          <w:rFonts w:ascii="Goudy Old Style" w:eastAsia="華康楷書體W3" w:hAnsi="Goudy Old Style" w:cs="Times New Roman"/>
          <w:szCs w:val="24"/>
        </w:rPr>
        <w:t>條之規定。</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歐洲人權法院認為本案「顯無理由」（</w:t>
      </w:r>
      <w:r w:rsidRPr="00674BA4">
        <w:rPr>
          <w:rFonts w:ascii="Goudy Old Style" w:eastAsia="華康楷書體W3" w:hAnsi="Goudy Old Style" w:cs="Times New Roman"/>
          <w:szCs w:val="24"/>
        </w:rPr>
        <w:t>manifestly ill-founded</w:t>
      </w:r>
      <w:r w:rsidRPr="00674BA4">
        <w:rPr>
          <w:rFonts w:ascii="Goudy Old Style" w:eastAsia="華康楷書體W3" w:hAnsi="Goudy Old Style" w:cs="Times New Roman"/>
          <w:szCs w:val="24"/>
        </w:rPr>
        <w:t>）</w:t>
      </w:r>
      <w:r w:rsidRPr="00674BA4">
        <w:rPr>
          <w:rFonts w:ascii="Goudy Old Style" w:eastAsia="華康楷書體W3" w:hAnsi="Goudy Old Style" w:cs="Times New Roman"/>
          <w:szCs w:val="24"/>
          <w:vertAlign w:val="superscript"/>
        </w:rPr>
        <w:footnoteReference w:id="24"/>
      </w:r>
      <w:r w:rsidRPr="00674BA4">
        <w:rPr>
          <w:rFonts w:ascii="Goudy Old Style" w:eastAsia="華康楷書體W3" w:hAnsi="Goudy Old Style" w:cs="Times New Roman"/>
          <w:szCs w:val="24"/>
        </w:rPr>
        <w:t>而以不受理駁回之，歐洲人權法院主要根據</w:t>
      </w:r>
      <w:r w:rsidRPr="00674BA4">
        <w:rPr>
          <w:rFonts w:ascii="Goudy Old Style" w:eastAsia="華康楷書體W3" w:hAnsi="Goudy Old Style" w:cs="Times New Roman"/>
          <w:szCs w:val="24"/>
        </w:rPr>
        <w:t>2</w:t>
      </w:r>
      <w:r w:rsidRPr="00674BA4">
        <w:rPr>
          <w:rFonts w:ascii="Goudy Old Style" w:eastAsia="華康楷書體W3" w:hAnsi="Goudy Old Style" w:cs="Times New Roman"/>
          <w:szCs w:val="24"/>
        </w:rPr>
        <w:t>項理由。首先，對選舉人而言，歐洲人權法院認為支持</w:t>
      </w:r>
      <w:r w:rsidRPr="00674BA4">
        <w:rPr>
          <w:rFonts w:ascii="Goudy Old Style" w:eastAsia="華康楷書體W3" w:hAnsi="Goudy Old Style" w:cs="Times New Roman"/>
          <w:szCs w:val="24"/>
        </w:rPr>
        <w:t>Sinn Fein</w:t>
      </w:r>
      <w:r w:rsidRPr="00674BA4">
        <w:rPr>
          <w:rFonts w:ascii="Goudy Old Style" w:eastAsia="華康楷書體W3" w:hAnsi="Goudy Old Style" w:cs="Times New Roman"/>
          <w:szCs w:val="24"/>
        </w:rPr>
        <w:t>黨的選民享有相同之選舉權及被選舉權，其權利並不因宣誓內容而影響，況且選舉人在投票時就已經知道此宣誓之要求及內容</w:t>
      </w:r>
      <w:r w:rsidRPr="00674BA4">
        <w:rPr>
          <w:rFonts w:ascii="Goudy Old Style" w:eastAsia="華康楷書體W3" w:hAnsi="Goudy Old Style" w:cs="Times New Roman"/>
          <w:szCs w:val="24"/>
          <w:vertAlign w:val="superscript"/>
        </w:rPr>
        <w:footnoteReference w:id="25"/>
      </w:r>
      <w:r w:rsidRPr="00674BA4">
        <w:rPr>
          <w:rFonts w:ascii="Goudy Old Style" w:eastAsia="華康楷書體W3" w:hAnsi="Goudy Old Style" w:cs="Times New Roman"/>
          <w:szCs w:val="24"/>
        </w:rPr>
        <w:t>。其次，就申請人而言，歐洲人權法院認為申請人並未被禁止將其選區選民關心之事件提交相關部長、委員會或其他國會議員，申請人可在不使用國會基本設施之情況下將其本人、其政黨及選民之意見使眾人知道</w:t>
      </w:r>
      <w:r w:rsidRPr="00674BA4">
        <w:rPr>
          <w:rFonts w:ascii="Goudy Old Style" w:eastAsia="華康楷書體W3" w:hAnsi="Goudy Old Style" w:cs="Times New Roman"/>
          <w:szCs w:val="24"/>
          <w:vertAlign w:val="superscript"/>
        </w:rPr>
        <w:footnoteReference w:id="26"/>
      </w:r>
      <w:r w:rsidRPr="00674BA4">
        <w:rPr>
          <w:rFonts w:ascii="Goudy Old Style" w:eastAsia="華康楷書體W3" w:hAnsi="Goudy Old Style" w:cs="Times New Roman"/>
          <w:szCs w:val="24"/>
        </w:rPr>
        <w:t>，所以歐洲人權法院認為申請人及其選民之自由選舉權並未受傷害，因此本申請案「顯無理由」應予駁回。</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由以上</w:t>
      </w:r>
      <w:r w:rsidRPr="00674BA4">
        <w:rPr>
          <w:rFonts w:ascii="Goudy Old Style" w:eastAsia="華康楷書體W3" w:hAnsi="Goudy Old Style" w:cs="Times New Roman"/>
          <w:szCs w:val="24"/>
        </w:rPr>
        <w:t>2</w:t>
      </w:r>
      <w:r w:rsidRPr="00674BA4">
        <w:rPr>
          <w:rFonts w:ascii="Goudy Old Style" w:eastAsia="華康楷書體W3" w:hAnsi="Goudy Old Style" w:cs="Times New Roman"/>
          <w:szCs w:val="24"/>
        </w:rPr>
        <w:t>個案件可得知，歐洲人權法院所強調的是，選舉人及被選舉人是否可自由地參與選舉，至於當選後宣誓之語言及內容規範並不是歐洲人權法院關心之重點，其認為這部份可由各國管理之，歐洲人權法院不願意干涉，因此歐洲人權法院所要求的是</w:t>
      </w:r>
      <w:proofErr w:type="gramStart"/>
      <w:r w:rsidRPr="00674BA4">
        <w:rPr>
          <w:rFonts w:ascii="Goudy Old Style" w:eastAsia="華康楷書體W3" w:hAnsi="Goudy Old Style" w:cs="Times New Roman"/>
          <w:szCs w:val="24"/>
        </w:rPr>
        <w:t>最</w:t>
      </w:r>
      <w:proofErr w:type="gramEnd"/>
      <w:r w:rsidRPr="00674BA4">
        <w:rPr>
          <w:rFonts w:ascii="Goudy Old Style" w:eastAsia="華康楷書體W3" w:hAnsi="Goudy Old Style" w:cs="Times New Roman"/>
          <w:szCs w:val="24"/>
        </w:rPr>
        <w:t>基礎之自由選舉權，至於某些細節的權利影響</w:t>
      </w:r>
      <w:proofErr w:type="gramStart"/>
      <w:r w:rsidRPr="00674BA4">
        <w:rPr>
          <w:rFonts w:ascii="Goudy Old Style" w:eastAsia="華康楷書體W3" w:hAnsi="Goudy Old Style" w:cs="Times New Roman"/>
          <w:szCs w:val="24"/>
        </w:rPr>
        <w:t>則留由各國</w:t>
      </w:r>
      <w:proofErr w:type="gramEnd"/>
      <w:r w:rsidRPr="00674BA4">
        <w:rPr>
          <w:rFonts w:ascii="Goudy Old Style" w:eastAsia="華康楷書體W3" w:hAnsi="Goudy Old Style" w:cs="Times New Roman"/>
          <w:szCs w:val="24"/>
        </w:rPr>
        <w:t>規範之，其中顯現一個國際人權法院的自我節制。</w:t>
      </w:r>
    </w:p>
    <w:p w:rsidR="00674BA4" w:rsidRPr="00674BA4" w:rsidRDefault="00674BA4" w:rsidP="00674BA4">
      <w:pPr>
        <w:spacing w:line="300" w:lineRule="auto"/>
        <w:ind w:firstLineChars="200" w:firstLine="480"/>
        <w:jc w:val="both"/>
        <w:rPr>
          <w:rFonts w:ascii="Goudy Old Style" w:eastAsia="華康楷書體W3" w:hAnsi="Goudy Old Style" w:cs="Times New Roman"/>
          <w:b/>
          <w:szCs w:val="24"/>
        </w:rPr>
      </w:pPr>
      <w:r w:rsidRPr="00674BA4">
        <w:rPr>
          <w:rFonts w:ascii="Goudy Old Style" w:eastAsia="華康楷書體W3" w:hAnsi="Goudy Old Style" w:cs="Times New Roman"/>
          <w:b/>
          <w:szCs w:val="24"/>
        </w:rPr>
        <w:lastRenderedPageBreak/>
        <w:t>三、第三人參與選舉</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自由選舉權所包含的不只是選舉權及被選舉權，亦可能牽涉非候選人參與選舉之情形，即一般人民可能利用競選期間表達其所相信之理念，以便影響選舉結果，方便未來之立法及修法，此亦是人民在選舉期間表達意見自由之重要一環。</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在</w:t>
      </w:r>
      <w:r w:rsidRPr="00674BA4">
        <w:rPr>
          <w:rFonts w:ascii="Goudy Old Style" w:eastAsia="華康楷書體W3" w:hAnsi="Goudy Old Style" w:cs="Times New Roman"/>
          <w:i/>
          <w:szCs w:val="24"/>
        </w:rPr>
        <w:t>Bowman v. the United Kingdom</w:t>
      </w:r>
      <w:r w:rsidRPr="00674BA4">
        <w:rPr>
          <w:rFonts w:ascii="Goudy Old Style" w:eastAsia="華康楷書體W3" w:hAnsi="Goudy Old Style" w:cs="Times New Roman"/>
          <w:szCs w:val="24"/>
          <w:vertAlign w:val="superscript"/>
        </w:rPr>
        <w:footnoteReference w:id="27"/>
      </w:r>
      <w:r w:rsidRPr="00674BA4">
        <w:rPr>
          <w:rFonts w:ascii="Goudy Old Style" w:eastAsia="華康楷書體W3" w:hAnsi="Goudy Old Style" w:cs="Times New Roman"/>
          <w:szCs w:val="24"/>
        </w:rPr>
        <w:t>一案中，申請人為「保護未出生兒童協會」（</w:t>
      </w:r>
      <w:r w:rsidRPr="00674BA4">
        <w:rPr>
          <w:rFonts w:ascii="Goudy Old Style" w:eastAsia="華康楷書體W3" w:hAnsi="Goudy Old Style" w:cs="Times New Roman"/>
          <w:szCs w:val="24"/>
        </w:rPr>
        <w:t>the Society for the Protection of the Unborn Child</w:t>
      </w:r>
      <w:r w:rsidRPr="00674BA4">
        <w:rPr>
          <w:rFonts w:ascii="Goudy Old Style" w:eastAsia="華康楷書體W3" w:hAnsi="Goudy Old Style" w:cs="Times New Roman"/>
          <w:szCs w:val="24"/>
        </w:rPr>
        <w:t>）之執行長，此協會反對墮胎及胚胎實驗，因此希望修改英國法律，在</w:t>
      </w:r>
      <w:r w:rsidRPr="00674BA4">
        <w:rPr>
          <w:rFonts w:ascii="Goudy Old Style" w:eastAsia="華康楷書體W3" w:hAnsi="Goudy Old Style" w:cs="Times New Roman"/>
          <w:szCs w:val="24"/>
        </w:rPr>
        <w:t>1992</w:t>
      </w:r>
      <w:r w:rsidRPr="00674BA4">
        <w:rPr>
          <w:rFonts w:ascii="Goudy Old Style" w:eastAsia="華康楷書體W3" w:hAnsi="Goudy Old Style" w:cs="Times New Roman"/>
          <w:szCs w:val="24"/>
        </w:rPr>
        <w:t>英國大選之競選</w:t>
      </w:r>
      <w:proofErr w:type="gramStart"/>
      <w:r w:rsidRPr="00674BA4">
        <w:rPr>
          <w:rFonts w:ascii="Goudy Old Style" w:eastAsia="華康楷書體W3" w:hAnsi="Goudy Old Style" w:cs="Times New Roman"/>
          <w:szCs w:val="24"/>
        </w:rPr>
        <w:t>期間，</w:t>
      </w:r>
      <w:proofErr w:type="gramEnd"/>
      <w:r w:rsidRPr="00674BA4">
        <w:rPr>
          <w:rFonts w:ascii="Goudy Old Style" w:eastAsia="華康楷書體W3" w:hAnsi="Goudy Old Style" w:cs="Times New Roman"/>
          <w:szCs w:val="24"/>
        </w:rPr>
        <w:t>此協會印製約</w:t>
      </w:r>
      <w:r w:rsidRPr="00674BA4">
        <w:rPr>
          <w:rFonts w:ascii="Goudy Old Style" w:eastAsia="華康楷書體W3" w:hAnsi="Goudy Old Style" w:cs="Times New Roman"/>
          <w:szCs w:val="24"/>
        </w:rPr>
        <w:t>150</w:t>
      </w:r>
      <w:r w:rsidRPr="00674BA4">
        <w:rPr>
          <w:rFonts w:ascii="Goudy Old Style" w:eastAsia="華康楷書體W3" w:hAnsi="Goudy Old Style" w:cs="Times New Roman"/>
          <w:szCs w:val="24"/>
        </w:rPr>
        <w:t>萬份小冊子流通於英國各選區，希望選民投票支持反對墮胎及胚胎實驗之候選人，申請人後來被認定為違反「</w:t>
      </w:r>
      <w:r w:rsidRPr="00674BA4">
        <w:rPr>
          <w:rFonts w:ascii="Goudy Old Style" w:eastAsia="華康楷書體W3" w:hAnsi="Goudy Old Style" w:cs="Times New Roman"/>
          <w:szCs w:val="24"/>
        </w:rPr>
        <w:t>1983</w:t>
      </w:r>
      <w:r w:rsidRPr="00674BA4">
        <w:rPr>
          <w:rFonts w:ascii="Goudy Old Style" w:eastAsia="華康楷書體W3" w:hAnsi="Goudy Old Style" w:cs="Times New Roman"/>
          <w:szCs w:val="24"/>
        </w:rPr>
        <w:t>年人民代表法」（</w:t>
      </w:r>
      <w:r w:rsidRPr="00674BA4">
        <w:rPr>
          <w:rFonts w:ascii="Goudy Old Style" w:eastAsia="華康楷書體W3" w:hAnsi="Goudy Old Style" w:cs="Times New Roman"/>
          <w:szCs w:val="24"/>
        </w:rPr>
        <w:t>Representation of the People Act 1983</w:t>
      </w:r>
      <w:r w:rsidRPr="00674BA4">
        <w:rPr>
          <w:rFonts w:ascii="Goudy Old Style" w:eastAsia="華康楷書體W3" w:hAnsi="Goudy Old Style" w:cs="Times New Roman"/>
          <w:szCs w:val="24"/>
        </w:rPr>
        <w:t>），因為此法律規定在競選期間內，任何未被允許之人不得花費超過</w:t>
      </w:r>
      <w:r w:rsidRPr="00674BA4">
        <w:rPr>
          <w:rFonts w:ascii="Goudy Old Style" w:eastAsia="華康楷書體W3" w:hAnsi="Goudy Old Style" w:cs="Times New Roman"/>
          <w:szCs w:val="24"/>
        </w:rPr>
        <w:t>5</w:t>
      </w:r>
      <w:r w:rsidRPr="00674BA4">
        <w:rPr>
          <w:rFonts w:ascii="Goudy Old Style" w:eastAsia="華康楷書體W3" w:hAnsi="Goudy Old Style" w:cs="Times New Roman"/>
          <w:szCs w:val="24"/>
        </w:rPr>
        <w:t>英鎊以上費用支持候選人。</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本案申請人只指控英國違反「歐洲人權公約」第</w:t>
      </w:r>
      <w:r w:rsidRPr="00674BA4">
        <w:rPr>
          <w:rFonts w:ascii="Goudy Old Style" w:eastAsia="華康楷書體W3" w:hAnsi="Goudy Old Style" w:cs="Times New Roman"/>
          <w:szCs w:val="24"/>
        </w:rPr>
        <w:t>10</w:t>
      </w:r>
      <w:r w:rsidRPr="00674BA4">
        <w:rPr>
          <w:rFonts w:ascii="Goudy Old Style" w:eastAsia="華康楷書體W3" w:hAnsi="Goudy Old Style" w:cs="Times New Roman"/>
          <w:szCs w:val="24"/>
        </w:rPr>
        <w:t>條有關表達自由權之規定，但是歐洲人權法院認為，本案中有關表達自由權之保障應以「歐洲人權公約第一議定書」第</w:t>
      </w:r>
      <w:r w:rsidRPr="00674BA4">
        <w:rPr>
          <w:rFonts w:ascii="Goudy Old Style" w:eastAsia="華康楷書體W3" w:hAnsi="Goudy Old Style" w:cs="Times New Roman"/>
          <w:szCs w:val="24"/>
        </w:rPr>
        <w:t>3</w:t>
      </w:r>
      <w:r w:rsidRPr="00674BA4">
        <w:rPr>
          <w:rFonts w:ascii="Goudy Old Style" w:eastAsia="華康楷書體W3" w:hAnsi="Goudy Old Style" w:cs="Times New Roman"/>
          <w:szCs w:val="24"/>
        </w:rPr>
        <w:t>條所保障之自由選舉權論證之。歐洲人權法院認為自由選舉及表達自由，特別是政治辯論自由，</w:t>
      </w:r>
      <w:proofErr w:type="gramStart"/>
      <w:r w:rsidRPr="00674BA4">
        <w:rPr>
          <w:rFonts w:ascii="Goudy Old Style" w:eastAsia="華康楷書體W3" w:hAnsi="Goudy Old Style" w:cs="Times New Roman"/>
          <w:szCs w:val="24"/>
        </w:rPr>
        <w:t>均是民主</w:t>
      </w:r>
      <w:proofErr w:type="gramEnd"/>
      <w:r w:rsidRPr="00674BA4">
        <w:rPr>
          <w:rFonts w:ascii="Goudy Old Style" w:eastAsia="華康楷書體W3" w:hAnsi="Goudy Old Style" w:cs="Times New Roman"/>
          <w:szCs w:val="24"/>
        </w:rPr>
        <w:t>系統之</w:t>
      </w:r>
      <w:proofErr w:type="gramStart"/>
      <w:r w:rsidRPr="00674BA4">
        <w:rPr>
          <w:rFonts w:ascii="Goudy Old Style" w:eastAsia="華康楷書體W3" w:hAnsi="Goudy Old Style" w:cs="Times New Roman"/>
          <w:szCs w:val="24"/>
        </w:rPr>
        <w:t>礎</w:t>
      </w:r>
      <w:proofErr w:type="gramEnd"/>
      <w:r w:rsidRPr="00674BA4">
        <w:rPr>
          <w:rFonts w:ascii="Goudy Old Style" w:eastAsia="華康楷書體W3" w:hAnsi="Goudy Old Style" w:cs="Times New Roman"/>
          <w:szCs w:val="24"/>
        </w:rPr>
        <w:t>石，這兩種權利彼此相關，並互為作用，表達自由權乃是確保人民自由表達意見以選擇立法機關之必要條件之一，因此在競選期間允許所有意見及資訊之流通是特別重要的</w:t>
      </w:r>
      <w:r w:rsidRPr="00674BA4">
        <w:rPr>
          <w:rFonts w:ascii="Goudy Old Style" w:eastAsia="華康楷書體W3" w:hAnsi="Goudy Old Style" w:cs="Times New Roman"/>
          <w:szCs w:val="24"/>
          <w:vertAlign w:val="superscript"/>
        </w:rPr>
        <w:footnoteReference w:id="28"/>
      </w:r>
      <w:r w:rsidRPr="00674BA4">
        <w:rPr>
          <w:rFonts w:ascii="Goudy Old Style" w:eastAsia="華康楷書體W3" w:hAnsi="Goudy Old Style" w:cs="Times New Roman"/>
          <w:szCs w:val="24"/>
        </w:rPr>
        <w:t>。但是另一方</w:t>
      </w:r>
      <w:r w:rsidRPr="00674BA4">
        <w:rPr>
          <w:rFonts w:ascii="Goudy Old Style" w:eastAsia="華康楷書體W3" w:hAnsi="Goudy Old Style" w:cs="Times New Roman"/>
          <w:szCs w:val="24"/>
        </w:rPr>
        <w:lastRenderedPageBreak/>
        <w:t>面歐洲人權法院亦認為，在某些情況下這兩種權利是彼此衝突的，因此在競選期間為了確保人民自由表達意見以選擇立法機關，有時候必需對表達自由權作某種平常不容易被接受之限制</w:t>
      </w:r>
      <w:r w:rsidRPr="00674BA4">
        <w:rPr>
          <w:rFonts w:ascii="Goudy Old Style" w:eastAsia="華康楷書體W3" w:hAnsi="Goudy Old Style" w:cs="Times New Roman"/>
          <w:szCs w:val="24"/>
          <w:vertAlign w:val="superscript"/>
        </w:rPr>
        <w:footnoteReference w:id="29"/>
      </w:r>
      <w:r w:rsidRPr="00674BA4">
        <w:rPr>
          <w:rFonts w:ascii="Goudy Old Style" w:eastAsia="華康楷書體W3" w:hAnsi="Goudy Old Style" w:cs="Times New Roman"/>
          <w:szCs w:val="24"/>
        </w:rPr>
        <w:t>。歐洲人權法院亦認同，在平衡自由選舉權及表達自由權方面，各國可依其選舉制度而享有判斷餘地原則。</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但是歐洲人權法院判決英國違反「歐洲人權公約」，其強調</w:t>
      </w:r>
      <w:r w:rsidRPr="00674BA4">
        <w:rPr>
          <w:rFonts w:ascii="Goudy Old Style" w:eastAsia="華康楷書體W3" w:hAnsi="Goudy Old Style" w:cs="Times New Roman"/>
          <w:szCs w:val="24"/>
        </w:rPr>
        <w:t>4</w:t>
      </w:r>
      <w:r w:rsidRPr="00674BA4">
        <w:rPr>
          <w:rFonts w:ascii="Goudy Old Style" w:eastAsia="華康楷書體W3" w:hAnsi="Goudy Old Style" w:cs="Times New Roman"/>
          <w:szCs w:val="24"/>
        </w:rPr>
        <w:t>個重點。第一，就金額而言，歐洲人權法院認為英國限制第三人之選舉花費低至</w:t>
      </w:r>
      <w:r w:rsidRPr="00674BA4">
        <w:rPr>
          <w:rFonts w:ascii="Goudy Old Style" w:eastAsia="華康楷書體W3" w:hAnsi="Goudy Old Style" w:cs="Times New Roman"/>
          <w:szCs w:val="24"/>
        </w:rPr>
        <w:t>5</w:t>
      </w:r>
      <w:r w:rsidRPr="00674BA4">
        <w:rPr>
          <w:rFonts w:ascii="Goudy Old Style" w:eastAsia="華康楷書體W3" w:hAnsi="Goudy Old Style" w:cs="Times New Roman"/>
          <w:szCs w:val="24"/>
        </w:rPr>
        <w:t>英鎊。第二，就期間而言，歐洲人權法院認為雖然英國選舉通常在選前</w:t>
      </w:r>
      <w:r w:rsidRPr="00674BA4">
        <w:rPr>
          <w:rFonts w:ascii="Goudy Old Style" w:eastAsia="華康楷書體W3" w:hAnsi="Goudy Old Style" w:cs="Times New Roman"/>
          <w:szCs w:val="24"/>
        </w:rPr>
        <w:t>4</w:t>
      </w:r>
      <w:r w:rsidRPr="00674BA4">
        <w:rPr>
          <w:rFonts w:ascii="Goudy Old Style" w:eastAsia="華康楷書體W3" w:hAnsi="Goudy Old Style" w:cs="Times New Roman"/>
          <w:szCs w:val="24"/>
        </w:rPr>
        <w:t>至</w:t>
      </w:r>
      <w:r w:rsidRPr="00674BA4">
        <w:rPr>
          <w:rFonts w:ascii="Goudy Old Style" w:eastAsia="華康楷書體W3" w:hAnsi="Goudy Old Style" w:cs="Times New Roman"/>
          <w:szCs w:val="24"/>
        </w:rPr>
        <w:t>6</w:t>
      </w:r>
      <w:proofErr w:type="gramStart"/>
      <w:r w:rsidRPr="00674BA4">
        <w:rPr>
          <w:rFonts w:ascii="Goudy Old Style" w:eastAsia="華康楷書體W3" w:hAnsi="Goudy Old Style" w:cs="Times New Roman"/>
          <w:szCs w:val="24"/>
        </w:rPr>
        <w:t>週</w:t>
      </w:r>
      <w:proofErr w:type="gramEnd"/>
      <w:r w:rsidRPr="00674BA4">
        <w:rPr>
          <w:rFonts w:ascii="Goudy Old Style" w:eastAsia="華康楷書體W3" w:hAnsi="Goudy Old Style" w:cs="Times New Roman"/>
          <w:szCs w:val="24"/>
        </w:rPr>
        <w:t>才宣佈之，即其限制期間通常只有</w:t>
      </w:r>
      <w:r w:rsidRPr="00674BA4">
        <w:rPr>
          <w:rFonts w:ascii="Goudy Old Style" w:eastAsia="華康楷書體W3" w:hAnsi="Goudy Old Style" w:cs="Times New Roman"/>
          <w:szCs w:val="24"/>
        </w:rPr>
        <w:t>4</w:t>
      </w:r>
      <w:r w:rsidRPr="00674BA4">
        <w:rPr>
          <w:rFonts w:ascii="Goudy Old Style" w:eastAsia="華康楷書體W3" w:hAnsi="Goudy Old Style" w:cs="Times New Roman"/>
          <w:szCs w:val="24"/>
        </w:rPr>
        <w:t>至</w:t>
      </w:r>
      <w:r w:rsidRPr="00674BA4">
        <w:rPr>
          <w:rFonts w:ascii="Goudy Old Style" w:eastAsia="華康楷書體W3" w:hAnsi="Goudy Old Style" w:cs="Times New Roman"/>
          <w:szCs w:val="24"/>
        </w:rPr>
        <w:t>6</w:t>
      </w:r>
      <w:proofErr w:type="gramStart"/>
      <w:r w:rsidRPr="00674BA4">
        <w:rPr>
          <w:rFonts w:ascii="Goudy Old Style" w:eastAsia="華康楷書體W3" w:hAnsi="Goudy Old Style" w:cs="Times New Roman"/>
          <w:szCs w:val="24"/>
        </w:rPr>
        <w:t>週</w:t>
      </w:r>
      <w:proofErr w:type="gramEnd"/>
      <w:r w:rsidRPr="00674BA4">
        <w:rPr>
          <w:rFonts w:ascii="Goudy Old Style" w:eastAsia="華康楷書體W3" w:hAnsi="Goudy Old Style" w:cs="Times New Roman"/>
          <w:szCs w:val="24"/>
        </w:rPr>
        <w:t>，在競選期間之外人民可自由主張意見，但是歐洲人權法院認為這段競選期間是人民專注於決定民意代表之重要時刻。第三，歐洲人權法院強調，並無其他方法可確定地使申請人之意見登載於報紙，或傳播於電視或廣播上。第四，歐洲人權法院亦強調英國並未限制報紙在選舉期間發表意見，只要此意見非針對特定候選人</w:t>
      </w:r>
      <w:r w:rsidRPr="00674BA4">
        <w:rPr>
          <w:rFonts w:ascii="Goudy Old Style" w:eastAsia="華康楷書體W3" w:hAnsi="Goudy Old Style" w:cs="Times New Roman"/>
          <w:szCs w:val="24"/>
          <w:vertAlign w:val="superscript"/>
        </w:rPr>
        <w:footnoteReference w:id="30"/>
      </w:r>
      <w:r w:rsidRPr="00674BA4">
        <w:rPr>
          <w:rFonts w:ascii="Goudy Old Style" w:eastAsia="華康楷書體W3" w:hAnsi="Goudy Old Style" w:cs="Times New Roman"/>
          <w:szCs w:val="24"/>
        </w:rPr>
        <w:t>。</w:t>
      </w:r>
    </w:p>
    <w:p w:rsidR="00674BA4" w:rsidRPr="00674BA4" w:rsidRDefault="00674BA4" w:rsidP="00674BA4">
      <w:pPr>
        <w:spacing w:line="300" w:lineRule="auto"/>
        <w:ind w:firstLineChars="200" w:firstLine="480"/>
        <w:jc w:val="both"/>
        <w:rPr>
          <w:rFonts w:ascii="Goudy Old Style" w:eastAsia="華康楷書體W3" w:hAnsi="Goudy Old Style" w:cs="Times New Roman"/>
          <w:szCs w:val="24"/>
        </w:rPr>
      </w:pPr>
      <w:r w:rsidRPr="00674BA4">
        <w:rPr>
          <w:rFonts w:ascii="Goudy Old Style" w:eastAsia="華康楷書體W3" w:hAnsi="Goudy Old Style" w:cs="Times New Roman"/>
          <w:szCs w:val="24"/>
        </w:rPr>
        <w:t>很顯然地歐洲人權法院認為在表達自由權及自由選舉權兩項權利之間應重視幾個重點，其中包括第三人參與選舉意見表達的經費不能太低，在競選期間不應禁止第三人表達意見，競選期間中應有相當管道可使第三人表達意見，同時在表達意見過程中媒體與個人應享有平等之權利，這些原則應是自由選舉權與表達自由權兩者互動過程中應遵守之原則，但是其中難以定論的是究竟多少金額是可允許的範圍，或者是根本無需設限，其牽涉的是以金錢介入選舉之深度，如果毫</w:t>
      </w:r>
      <w:r w:rsidRPr="00674BA4">
        <w:rPr>
          <w:rFonts w:ascii="Goudy Old Style" w:eastAsia="華康楷書體W3" w:hAnsi="Goudy Old Style" w:cs="Times New Roman"/>
          <w:szCs w:val="24"/>
        </w:rPr>
        <w:lastRenderedPageBreak/>
        <w:t>無限制則可能使多金者透過</w:t>
      </w:r>
      <w:proofErr w:type="gramStart"/>
      <w:r w:rsidRPr="00674BA4">
        <w:rPr>
          <w:rFonts w:ascii="Goudy Old Style" w:eastAsia="華康楷書體W3" w:hAnsi="Goudy Old Style" w:cs="Times New Roman"/>
          <w:szCs w:val="24"/>
        </w:rPr>
        <w:t>選舉買收候選人</w:t>
      </w:r>
      <w:proofErr w:type="gramEnd"/>
      <w:r w:rsidRPr="00674BA4">
        <w:rPr>
          <w:rFonts w:ascii="Goudy Old Style" w:eastAsia="華康楷書體W3" w:hAnsi="Goudy Old Style" w:cs="Times New Roman"/>
          <w:szCs w:val="24"/>
        </w:rPr>
        <w:t>，如果無法對個人選舉花費作適當限制，那麼限制候選人之選舉花費制度將會減低成效</w:t>
      </w:r>
      <w:r w:rsidRPr="00674BA4">
        <w:rPr>
          <w:rFonts w:ascii="Goudy Old Style" w:eastAsia="華康楷書體W3" w:hAnsi="Goudy Old Style" w:cs="Times New Roman"/>
          <w:szCs w:val="24"/>
          <w:vertAlign w:val="superscript"/>
        </w:rPr>
        <w:footnoteReference w:id="31"/>
      </w:r>
      <w:r w:rsidRPr="00674BA4">
        <w:rPr>
          <w:rFonts w:ascii="Goudy Old Style" w:eastAsia="華康楷書體W3" w:hAnsi="Goudy Old Style" w:cs="Times New Roman"/>
          <w:szCs w:val="24"/>
        </w:rPr>
        <w:t>，這可能是歐洲人權法院未來必需面對的難題。</w:t>
      </w:r>
      <w:r w:rsidRPr="00674BA4">
        <w:rPr>
          <w:rFonts w:ascii="Goudy Old Style" w:eastAsia="華康楷書體W3" w:hAnsi="Goudy Old Style" w:cs="Times New Roman"/>
          <w:szCs w:val="24"/>
          <w:vertAlign w:val="superscript"/>
        </w:rPr>
        <w:footnoteReference w:id="32"/>
      </w:r>
    </w:p>
    <w:p w:rsidR="00027980" w:rsidRPr="00674BA4" w:rsidRDefault="00027980" w:rsidP="00674BA4">
      <w:pPr>
        <w:spacing w:line="300" w:lineRule="auto"/>
        <w:ind w:firstLineChars="200" w:firstLine="480"/>
        <w:jc w:val="both"/>
        <w:rPr>
          <w:rFonts w:ascii="Goudy Old Style" w:eastAsia="華康楷書體W3" w:hAnsi="Goudy Old Style"/>
          <w:szCs w:val="24"/>
        </w:rPr>
      </w:pPr>
    </w:p>
    <w:sectPr w:rsidR="00027980" w:rsidRPr="00674BA4">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124" w:rsidRDefault="000E2124" w:rsidP="00674BA4">
      <w:r>
        <w:separator/>
      </w:r>
    </w:p>
  </w:endnote>
  <w:endnote w:type="continuationSeparator" w:id="0">
    <w:p w:rsidR="000E2124" w:rsidRDefault="000E2124" w:rsidP="0067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華康楷書體W3">
    <w:altName w:val="Microsoft JhengHei UI Light"/>
    <w:charset w:val="88"/>
    <w:family w:val="script"/>
    <w:pitch w:val="fixed"/>
    <w:sig w:usb0="00000000" w:usb1="28091800" w:usb2="00000016" w:usb3="00000000" w:csb0="00100000" w:csb1="00000000"/>
  </w:font>
  <w:font w:name="華康仿宋體W4(P)">
    <w:altName w:val="Malgun Gothic Semilight"/>
    <w:charset w:val="88"/>
    <w:family w:val="roman"/>
    <w:pitch w:val="variable"/>
    <w:sig w:usb0="00000000"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944754"/>
      <w:docPartObj>
        <w:docPartGallery w:val="Page Numbers (Bottom of Page)"/>
        <w:docPartUnique/>
      </w:docPartObj>
    </w:sdtPr>
    <w:sdtEndPr/>
    <w:sdtContent>
      <w:p w:rsidR="00097A09" w:rsidRDefault="00097A09">
        <w:pPr>
          <w:pStyle w:val="a8"/>
          <w:jc w:val="center"/>
        </w:pPr>
        <w:r>
          <w:fldChar w:fldCharType="begin"/>
        </w:r>
        <w:r>
          <w:instrText>PAGE   \* MERGEFORMAT</w:instrText>
        </w:r>
        <w:r>
          <w:fldChar w:fldCharType="separate"/>
        </w:r>
        <w:r w:rsidR="000D0299" w:rsidRPr="000D0299">
          <w:rPr>
            <w:noProof/>
            <w:lang w:val="zh-TW"/>
          </w:rPr>
          <w:t>2</w:t>
        </w:r>
        <w:r>
          <w:fldChar w:fldCharType="end"/>
        </w:r>
      </w:p>
    </w:sdtContent>
  </w:sdt>
  <w:p w:rsidR="00097A09" w:rsidRDefault="00097A0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124" w:rsidRDefault="000E2124" w:rsidP="00674BA4">
      <w:r>
        <w:separator/>
      </w:r>
    </w:p>
  </w:footnote>
  <w:footnote w:type="continuationSeparator" w:id="0">
    <w:p w:rsidR="000E2124" w:rsidRDefault="000E2124" w:rsidP="00674BA4">
      <w:r>
        <w:continuationSeparator/>
      </w:r>
    </w:p>
  </w:footnote>
  <w:footnote w:id="1">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proofErr w:type="spellStart"/>
      <w:r w:rsidRPr="003E063A">
        <w:rPr>
          <w:rFonts w:ascii="Goudy Old Style" w:eastAsia="華康仿宋體W4(P)" w:hAnsi="Goudy Old Style"/>
          <w:i/>
        </w:rPr>
        <w:t>Mathien-Mohin</w:t>
      </w:r>
      <w:proofErr w:type="spellEnd"/>
      <w:r w:rsidRPr="003E063A">
        <w:rPr>
          <w:rFonts w:ascii="Goudy Old Style" w:eastAsia="華康仿宋體W4(P)" w:hAnsi="Goudy Old Style"/>
          <w:i/>
        </w:rPr>
        <w:t xml:space="preserve"> and </w:t>
      </w:r>
      <w:proofErr w:type="spellStart"/>
      <w:r w:rsidRPr="003E063A">
        <w:rPr>
          <w:rFonts w:ascii="Goudy Old Style" w:eastAsia="華康仿宋體W4(P)" w:hAnsi="Goudy Old Style"/>
          <w:i/>
        </w:rPr>
        <w:t>Clerfayt</w:t>
      </w:r>
      <w:proofErr w:type="spellEnd"/>
      <w:r w:rsidRPr="003E063A">
        <w:rPr>
          <w:rFonts w:ascii="Goudy Old Style" w:eastAsia="華康仿宋體W4(P)" w:hAnsi="Goudy Old Style"/>
          <w:i/>
        </w:rPr>
        <w:t xml:space="preserve"> v. Belgium</w:t>
      </w:r>
      <w:r w:rsidRPr="003E063A">
        <w:rPr>
          <w:rFonts w:ascii="Goudy Old Style" w:eastAsia="華康仿宋體W4(P)" w:hAnsi="Goudy Old Style"/>
        </w:rPr>
        <w:t>, above no. 15, paragraph 54.</w:t>
      </w:r>
    </w:p>
  </w:footnote>
  <w:footnote w:id="2">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r w:rsidRPr="003E063A">
        <w:rPr>
          <w:rFonts w:ascii="Goudy Old Style" w:eastAsia="華康仿宋體W4(P)" w:hAnsi="Goudy Old Style"/>
          <w:i/>
        </w:rPr>
        <w:t>Ibid.</w:t>
      </w:r>
    </w:p>
  </w:footnote>
  <w:footnote w:id="3">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r w:rsidRPr="003E063A">
        <w:rPr>
          <w:rFonts w:ascii="Goudy Old Style" w:eastAsia="華康仿宋體W4(P)" w:hAnsi="Goudy Old Style"/>
          <w:i/>
        </w:rPr>
        <w:t>Ibid.</w:t>
      </w:r>
    </w:p>
  </w:footnote>
  <w:footnote w:id="4">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r w:rsidRPr="003E063A">
        <w:rPr>
          <w:rFonts w:ascii="Goudy Old Style" w:eastAsia="華康仿宋體W4(P)" w:hAnsi="Goudy Old Style"/>
        </w:rPr>
        <w:t>歐洲人權委員會認為</w:t>
      </w:r>
      <w:r w:rsidRPr="003E063A">
        <w:rPr>
          <w:rFonts w:ascii="Goudy Old Style" w:eastAsia="華康仿宋體W4(P)" w:hAnsi="Goudy Old Style"/>
        </w:rPr>
        <w:t>5</w:t>
      </w:r>
      <w:r w:rsidRPr="003E063A">
        <w:rPr>
          <w:rFonts w:ascii="Goudy Old Style" w:eastAsia="華康仿宋體W4(P)" w:hAnsi="Goudy Old Style"/>
        </w:rPr>
        <w:t>年時間為合理</w:t>
      </w:r>
      <w:proofErr w:type="gramStart"/>
      <w:r w:rsidRPr="003E063A">
        <w:rPr>
          <w:rFonts w:ascii="Goudy Old Style" w:eastAsia="華康仿宋體W4(P)" w:hAnsi="Goudy Old Style"/>
        </w:rPr>
        <w:t>期間，</w:t>
      </w:r>
      <w:proofErr w:type="gramEnd"/>
      <w:r w:rsidRPr="003E063A">
        <w:rPr>
          <w:rFonts w:ascii="Goudy Old Style" w:eastAsia="華康仿宋體W4(P)" w:hAnsi="Goudy Old Style"/>
        </w:rPr>
        <w:t>請參閱</w:t>
      </w:r>
      <w:r w:rsidRPr="003E063A">
        <w:rPr>
          <w:rFonts w:ascii="Goudy Old Style" w:eastAsia="華康仿宋體W4(P)" w:hAnsi="Goudy Old Style"/>
        </w:rPr>
        <w:t xml:space="preserve">P. van Dijk and G. J. H. van Hoof, </w:t>
      </w:r>
      <w:r w:rsidRPr="003E063A">
        <w:rPr>
          <w:rFonts w:ascii="Goudy Old Style" w:eastAsia="華康仿宋體W4(P)" w:hAnsi="Goudy Old Style"/>
          <w:i/>
        </w:rPr>
        <w:t>Theory and Practice of the European Convention on Human Rights</w:t>
      </w:r>
      <w:r w:rsidRPr="003E063A">
        <w:rPr>
          <w:rFonts w:ascii="Goudy Old Style" w:eastAsia="華康仿宋體W4(P)" w:hAnsi="Goudy Old Style"/>
        </w:rPr>
        <w:t xml:space="preserve"> (Kluwer Law International, 1998), p. 658.</w:t>
      </w:r>
    </w:p>
  </w:footnote>
  <w:footnote w:id="5">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proofErr w:type="spellStart"/>
      <w:r w:rsidRPr="003E063A">
        <w:rPr>
          <w:rFonts w:ascii="Goudy Old Style" w:eastAsia="華康仿宋體W4(P)" w:hAnsi="Goudy Old Style"/>
          <w:i/>
        </w:rPr>
        <w:t>Hilbe</w:t>
      </w:r>
      <w:proofErr w:type="spellEnd"/>
      <w:r w:rsidRPr="003E063A">
        <w:rPr>
          <w:rFonts w:ascii="Goudy Old Style" w:eastAsia="華康仿宋體W4(P)" w:hAnsi="Goudy Old Style"/>
          <w:i/>
        </w:rPr>
        <w:t xml:space="preserve"> v. </w:t>
      </w:r>
      <w:smartTag w:uri="urn:schemas-microsoft-com:office:smarttags" w:element="country-region">
        <w:smartTag w:uri="urn:schemas-microsoft-com:office:smarttags" w:element="place">
          <w:r w:rsidRPr="003E063A">
            <w:rPr>
              <w:rFonts w:ascii="Goudy Old Style" w:eastAsia="華康仿宋體W4(P)" w:hAnsi="Goudy Old Style"/>
              <w:i/>
            </w:rPr>
            <w:t>Liechtenstein</w:t>
          </w:r>
        </w:smartTag>
      </w:smartTag>
      <w:r w:rsidRPr="003E063A">
        <w:rPr>
          <w:rFonts w:ascii="Goudy Old Style" w:eastAsia="華康仿宋體W4(P)" w:hAnsi="Goudy Old Style"/>
        </w:rPr>
        <w:t>, above</w:t>
      </w:r>
      <w:r w:rsidRPr="003E063A">
        <w:rPr>
          <w:rFonts w:ascii="Goudy Old Style" w:eastAsia="華康仿宋體W4(P)" w:hAnsi="Goudy Old Style"/>
          <w:color w:val="FF0000"/>
        </w:rPr>
        <w:t xml:space="preserve"> </w:t>
      </w:r>
      <w:r w:rsidRPr="003E063A">
        <w:rPr>
          <w:rFonts w:ascii="Goudy Old Style" w:eastAsia="華康仿宋體W4(P)" w:hAnsi="Goudy Old Style"/>
        </w:rPr>
        <w:t>no. 20.</w:t>
      </w:r>
    </w:p>
  </w:footnote>
  <w:footnote w:id="6">
    <w:p w:rsidR="00674BA4" w:rsidRPr="003E063A" w:rsidRDefault="00674BA4" w:rsidP="00674BA4">
      <w:pPr>
        <w:pStyle w:val="a3"/>
        <w:rPr>
          <w:rFonts w:ascii="Goudy Old Style" w:eastAsia="華康仿宋體W4(P)" w:hAnsi="Goudy Old Style"/>
          <w:color w:val="FF0000"/>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r w:rsidRPr="003E063A">
        <w:rPr>
          <w:rFonts w:ascii="Goudy Old Style" w:eastAsia="華康仿宋體W4(P)" w:hAnsi="Goudy Old Style"/>
          <w:i/>
        </w:rPr>
        <w:t>Ibid.</w:t>
      </w:r>
    </w:p>
  </w:footnote>
  <w:footnote w:id="7">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r w:rsidRPr="003E063A">
        <w:rPr>
          <w:rFonts w:ascii="Goudy Old Style" w:eastAsia="華康仿宋體W4(P)" w:hAnsi="Goudy Old Style"/>
          <w:i/>
        </w:rPr>
        <w:t>Ibid.</w:t>
      </w:r>
    </w:p>
  </w:footnote>
  <w:footnote w:id="8">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r w:rsidRPr="003E063A">
        <w:rPr>
          <w:rFonts w:ascii="Goudy Old Style" w:eastAsia="華康仿宋體W4(P)" w:hAnsi="Goudy Old Style"/>
          <w:i/>
        </w:rPr>
        <w:t>Ibid.</w:t>
      </w:r>
    </w:p>
  </w:footnote>
  <w:footnote w:id="9">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r w:rsidRPr="003E063A">
        <w:rPr>
          <w:rFonts w:ascii="Goudy Old Style" w:eastAsia="華康仿宋體W4(P)" w:hAnsi="Goudy Old Style"/>
        </w:rPr>
        <w:t>參見歐洲共同體條約第</w:t>
      </w:r>
      <w:r w:rsidRPr="003E063A">
        <w:rPr>
          <w:rFonts w:ascii="Goudy Old Style" w:eastAsia="華康仿宋體W4(P)" w:hAnsi="Goudy Old Style"/>
        </w:rPr>
        <w:t>3</w:t>
      </w:r>
      <w:r w:rsidRPr="003E063A">
        <w:rPr>
          <w:rFonts w:ascii="Goudy Old Style" w:eastAsia="華康仿宋體W4(P)" w:hAnsi="Goudy Old Style"/>
        </w:rPr>
        <w:t>條及第</w:t>
      </w:r>
      <w:r w:rsidRPr="003E063A">
        <w:rPr>
          <w:rFonts w:ascii="Goudy Old Style" w:eastAsia="華康仿宋體W4(P)" w:hAnsi="Goudy Old Style"/>
        </w:rPr>
        <w:t>14</w:t>
      </w:r>
      <w:r w:rsidRPr="003E063A">
        <w:rPr>
          <w:rFonts w:ascii="Goudy Old Style" w:eastAsia="華康仿宋體W4(P)" w:hAnsi="Goudy Old Style"/>
        </w:rPr>
        <w:t>條等條文。</w:t>
      </w:r>
    </w:p>
  </w:footnote>
  <w:footnote w:id="10">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E.T.S. No. 25, 13 December 1957</w:t>
      </w:r>
      <w:r w:rsidRPr="003E063A">
        <w:rPr>
          <w:rFonts w:ascii="Goudy Old Style" w:eastAsia="華康仿宋體W4(P)" w:hAnsi="Goudy Old Style"/>
        </w:rPr>
        <w:t>。</w:t>
      </w:r>
    </w:p>
  </w:footnote>
  <w:footnote w:id="11">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smartTag w:uri="urn:schemas-microsoft-com:office:smarttags" w:element="address">
        <w:r w:rsidRPr="003E063A">
          <w:rPr>
            <w:rFonts w:ascii="Goudy Old Style" w:eastAsia="華康仿宋體W4(P)" w:hAnsi="Goudy Old Style"/>
          </w:rPr>
          <w:t>Eur. Court HR</w:t>
        </w:r>
      </w:smartTag>
      <w:r w:rsidRPr="003E063A">
        <w:rPr>
          <w:rFonts w:ascii="Goudy Old Style" w:eastAsia="華康仿宋體W4(P)" w:hAnsi="Goudy Old Style"/>
        </w:rPr>
        <w:t xml:space="preserve">, </w:t>
      </w:r>
      <w:proofErr w:type="spellStart"/>
      <w:r w:rsidRPr="003E063A">
        <w:rPr>
          <w:rFonts w:ascii="Goudy Old Style" w:eastAsia="華康仿宋體W4(P)" w:hAnsi="Goudy Old Style"/>
        </w:rPr>
        <w:t>Gitonas</w:t>
      </w:r>
      <w:proofErr w:type="spellEnd"/>
      <w:r w:rsidRPr="003E063A">
        <w:rPr>
          <w:rFonts w:ascii="Goudy Old Style" w:eastAsia="華康仿宋體W4(P)" w:hAnsi="Goudy Old Style"/>
        </w:rPr>
        <w:t xml:space="preserve"> and Others v. </w:t>
      </w:r>
      <w:smartTag w:uri="urn:schemas-microsoft-com:office:smarttags" w:element="country-region">
        <w:smartTag w:uri="urn:schemas-microsoft-com:office:smarttags" w:element="place">
          <w:r w:rsidRPr="003E063A">
            <w:rPr>
              <w:rFonts w:ascii="Goudy Old Style" w:eastAsia="華康仿宋體W4(P)" w:hAnsi="Goudy Old Style"/>
            </w:rPr>
            <w:t>Greece</w:t>
          </w:r>
        </w:smartTag>
      </w:smartTag>
      <w:r w:rsidRPr="003E063A">
        <w:rPr>
          <w:rFonts w:ascii="Goudy Old Style" w:eastAsia="華康仿宋體W4(P)" w:hAnsi="Goudy Old Style"/>
        </w:rPr>
        <w:t xml:space="preserve"> (1), Judgment of </w:t>
      </w:r>
      <w:smartTag w:uri="urn:schemas-microsoft-com:office:smarttags" w:element="date">
        <w:smartTagPr>
          <w:attr w:name="Month" w:val="6"/>
          <w:attr w:name="Day" w:val="23"/>
          <w:attr w:name="Year" w:val="1997"/>
        </w:smartTagPr>
        <w:r w:rsidRPr="003E063A">
          <w:rPr>
            <w:rFonts w:ascii="Goudy Old Style" w:eastAsia="華康仿宋體W4(P)" w:hAnsi="Goudy Old Style"/>
          </w:rPr>
          <w:t>23 June 1997</w:t>
        </w:r>
      </w:smartTag>
      <w:r w:rsidRPr="003E063A">
        <w:rPr>
          <w:rFonts w:ascii="Goudy Old Style" w:eastAsia="華康仿宋體W4(P)" w:hAnsi="Goudy Old Style"/>
        </w:rPr>
        <w:t xml:space="preserve">, </w:t>
      </w:r>
      <w:r w:rsidRPr="003E063A">
        <w:rPr>
          <w:rFonts w:ascii="Goudy Old Style" w:eastAsia="華康仿宋體W4(P)" w:hAnsi="Goudy Old Style"/>
          <w:i/>
        </w:rPr>
        <w:t>Reports of Judgments and Decisions</w:t>
      </w:r>
      <w:r w:rsidRPr="003E063A">
        <w:rPr>
          <w:rFonts w:ascii="Goudy Old Style" w:eastAsia="華康仿宋體W4(P)" w:hAnsi="Goudy Old Style"/>
        </w:rPr>
        <w:t xml:space="preserve"> 1997-IV.</w:t>
      </w:r>
    </w:p>
  </w:footnote>
  <w:footnote w:id="12">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r w:rsidRPr="003E063A">
        <w:rPr>
          <w:rFonts w:ascii="Goudy Old Style" w:eastAsia="華康仿宋體W4(P)" w:hAnsi="Goudy Old Style"/>
          <w:i/>
        </w:rPr>
        <w:t>Ibid.</w:t>
      </w:r>
      <w:r w:rsidRPr="003E063A">
        <w:rPr>
          <w:rFonts w:ascii="Goudy Old Style" w:eastAsia="華康仿宋體W4(P)" w:hAnsi="Goudy Old Style"/>
        </w:rPr>
        <w:t>, paragraph 40.</w:t>
      </w:r>
    </w:p>
  </w:footnote>
  <w:footnote w:id="13">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r w:rsidRPr="003E063A">
        <w:rPr>
          <w:rFonts w:ascii="Goudy Old Style" w:eastAsia="華康仿宋體W4(P)" w:hAnsi="Goudy Old Style"/>
          <w:i/>
        </w:rPr>
        <w:t>Ibid.</w:t>
      </w:r>
      <w:r w:rsidRPr="003E063A">
        <w:rPr>
          <w:rFonts w:ascii="Goudy Old Style" w:eastAsia="華康仿宋體W4(P)" w:hAnsi="Goudy Old Style"/>
        </w:rPr>
        <w:t>, paragraph 39.</w:t>
      </w:r>
    </w:p>
  </w:footnote>
  <w:footnote w:id="14">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smartTag w:uri="urn:schemas-microsoft-com:office:smarttags" w:element="address">
        <w:r w:rsidRPr="003E063A">
          <w:rPr>
            <w:rFonts w:ascii="Goudy Old Style" w:eastAsia="華康仿宋體W4(P)" w:hAnsi="Goudy Old Style"/>
          </w:rPr>
          <w:t>Eur. Court HR</w:t>
        </w:r>
      </w:smartTag>
      <w:r w:rsidRPr="003E063A">
        <w:rPr>
          <w:rFonts w:ascii="Goudy Old Style" w:eastAsia="華康仿宋體W4(P)" w:hAnsi="Goudy Old Style"/>
        </w:rPr>
        <w:t xml:space="preserve">, Ahmed and Others v. the </w:t>
      </w:r>
      <w:smartTag w:uri="urn:schemas-microsoft-com:office:smarttags" w:element="country-region">
        <w:smartTag w:uri="urn:schemas-microsoft-com:office:smarttags" w:element="place">
          <w:r w:rsidRPr="003E063A">
            <w:rPr>
              <w:rFonts w:ascii="Goudy Old Style" w:eastAsia="華康仿宋體W4(P)" w:hAnsi="Goudy Old Style"/>
            </w:rPr>
            <w:t>United Kingdom</w:t>
          </w:r>
        </w:smartTag>
      </w:smartTag>
      <w:r w:rsidRPr="003E063A">
        <w:rPr>
          <w:rFonts w:ascii="Goudy Old Style" w:eastAsia="華康仿宋體W4(P)" w:hAnsi="Goudy Old Style"/>
        </w:rPr>
        <w:t xml:space="preserve">, Judgment of </w:t>
      </w:r>
      <w:smartTag w:uri="urn:schemas-microsoft-com:office:smarttags" w:element="date">
        <w:smartTagPr>
          <w:attr w:name="Month" w:val="9"/>
          <w:attr w:name="Day" w:val="2"/>
          <w:attr w:name="Year" w:val="1998"/>
        </w:smartTagPr>
        <w:r w:rsidRPr="003E063A">
          <w:rPr>
            <w:rFonts w:ascii="Goudy Old Style" w:eastAsia="華康仿宋體W4(P)" w:hAnsi="Goudy Old Style"/>
          </w:rPr>
          <w:t>2 September 1998</w:t>
        </w:r>
      </w:smartTag>
      <w:r w:rsidRPr="003E063A">
        <w:rPr>
          <w:rFonts w:ascii="Goudy Old Style" w:eastAsia="華康仿宋體W4(P)" w:hAnsi="Goudy Old Style"/>
        </w:rPr>
        <w:t xml:space="preserve">, </w:t>
      </w:r>
      <w:r w:rsidRPr="003E063A">
        <w:rPr>
          <w:rFonts w:ascii="Goudy Old Style" w:eastAsia="華康仿宋體W4(P)" w:hAnsi="Goudy Old Style"/>
          <w:i/>
        </w:rPr>
        <w:t>Reports of Judgments and Decisions</w:t>
      </w:r>
      <w:r w:rsidRPr="003E063A">
        <w:rPr>
          <w:rFonts w:ascii="Goudy Old Style" w:eastAsia="華康仿宋體W4(P)" w:hAnsi="Goudy Old Style"/>
        </w:rPr>
        <w:t xml:space="preserve"> 1998-VI.</w:t>
      </w:r>
    </w:p>
  </w:footnote>
  <w:footnote w:id="15">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r w:rsidRPr="003E063A">
        <w:rPr>
          <w:rFonts w:ascii="Goudy Old Style" w:eastAsia="華康仿宋體W4(P)" w:hAnsi="Goudy Old Style"/>
          <w:i/>
        </w:rPr>
        <w:t>Ibid.</w:t>
      </w:r>
      <w:r w:rsidRPr="003E063A">
        <w:rPr>
          <w:rFonts w:ascii="Goudy Old Style" w:eastAsia="華康仿宋體W4(P)" w:hAnsi="Goudy Old Style"/>
        </w:rPr>
        <w:t>, paragraph 75.</w:t>
      </w:r>
    </w:p>
  </w:footnote>
  <w:footnote w:id="16">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smartTag w:uri="urn:schemas-microsoft-com:office:smarttags" w:element="address">
        <w:r w:rsidRPr="003E063A">
          <w:rPr>
            <w:rFonts w:ascii="Goudy Old Style" w:eastAsia="華康仿宋體W4(P)" w:hAnsi="Goudy Old Style"/>
          </w:rPr>
          <w:t>Eur. Court HR</w:t>
        </w:r>
      </w:smartTag>
      <w:r w:rsidRPr="003E063A">
        <w:rPr>
          <w:rFonts w:ascii="Goudy Old Style" w:eastAsia="華康仿宋體W4(P)" w:hAnsi="Goudy Old Style"/>
        </w:rPr>
        <w:t xml:space="preserve">, United Communist Party of </w:t>
      </w:r>
      <w:smartTag w:uri="urn:schemas-microsoft-com:office:smarttags" w:element="country-region">
        <w:smartTag w:uri="urn:schemas-microsoft-com:office:smarttags" w:element="place">
          <w:r w:rsidRPr="003E063A">
            <w:rPr>
              <w:rFonts w:ascii="Goudy Old Style" w:eastAsia="華康仿宋體W4(P)" w:hAnsi="Goudy Old Style"/>
            </w:rPr>
            <w:t>Turkey</w:t>
          </w:r>
        </w:smartTag>
      </w:smartTag>
      <w:r w:rsidRPr="003E063A">
        <w:rPr>
          <w:rFonts w:ascii="Goudy Old Style" w:eastAsia="華康仿宋體W4(P)" w:hAnsi="Goudy Old Style"/>
        </w:rPr>
        <w:t xml:space="preserve"> and Others v. </w:t>
      </w:r>
      <w:smartTag w:uri="urn:schemas-microsoft-com:office:smarttags" w:element="country-region">
        <w:smartTag w:uri="urn:schemas-microsoft-com:office:smarttags" w:element="place">
          <w:r w:rsidRPr="003E063A">
            <w:rPr>
              <w:rFonts w:ascii="Goudy Old Style" w:eastAsia="華康仿宋體W4(P)" w:hAnsi="Goudy Old Style"/>
            </w:rPr>
            <w:t>Turkey</w:t>
          </w:r>
        </w:smartTag>
      </w:smartTag>
      <w:r w:rsidRPr="003E063A">
        <w:rPr>
          <w:rFonts w:ascii="Goudy Old Style" w:eastAsia="華康仿宋體W4(P)" w:hAnsi="Goudy Old Style"/>
        </w:rPr>
        <w:t xml:space="preserve">, Judgment of </w:t>
      </w:r>
      <w:smartTag w:uri="urn:schemas-microsoft-com:office:smarttags" w:element="date">
        <w:smartTagPr>
          <w:attr w:name="Month" w:val="1"/>
          <w:attr w:name="Day" w:val="30"/>
          <w:attr w:name="Year" w:val="1998"/>
        </w:smartTagPr>
        <w:r w:rsidRPr="003E063A">
          <w:rPr>
            <w:rFonts w:ascii="Goudy Old Style" w:eastAsia="華康仿宋體W4(P)" w:hAnsi="Goudy Old Style"/>
          </w:rPr>
          <w:t>30 January 1998</w:t>
        </w:r>
      </w:smartTag>
      <w:r w:rsidRPr="003E063A">
        <w:rPr>
          <w:rFonts w:ascii="Goudy Old Style" w:eastAsia="華康仿宋體W4(P)" w:hAnsi="Goudy Old Style"/>
        </w:rPr>
        <w:fldChar w:fldCharType="begin"/>
      </w:r>
      <w:r w:rsidRPr="003E063A">
        <w:rPr>
          <w:rFonts w:ascii="Goudy Old Style" w:eastAsia="華康仿宋體W4(P)" w:hAnsi="Goudy Old Style"/>
        </w:rPr>
        <w:instrText xml:space="preserve"> XE "Haes and Gijsels v. Belgium" </w:instrText>
      </w:r>
      <w:r w:rsidRPr="003E063A">
        <w:rPr>
          <w:rFonts w:ascii="Goudy Old Style" w:eastAsia="華康仿宋體W4(P)" w:hAnsi="Goudy Old Style"/>
        </w:rPr>
        <w:fldChar w:fldCharType="end"/>
      </w:r>
      <w:r w:rsidRPr="003E063A">
        <w:rPr>
          <w:rFonts w:ascii="Goudy Old Style" w:eastAsia="華康仿宋體W4(P)" w:hAnsi="Goudy Old Style"/>
        </w:rPr>
        <w:t xml:space="preserve">, </w:t>
      </w:r>
      <w:r w:rsidRPr="003E063A">
        <w:rPr>
          <w:rFonts w:ascii="Goudy Old Style" w:eastAsia="華康仿宋體W4(P)" w:hAnsi="Goudy Old Style"/>
          <w:i/>
        </w:rPr>
        <w:t xml:space="preserve">Reports of Judgments and Decisions </w:t>
      </w:r>
      <w:r w:rsidRPr="003E063A">
        <w:rPr>
          <w:rFonts w:ascii="Goudy Old Style" w:eastAsia="華康仿宋體W4(P)" w:hAnsi="Goudy Old Style"/>
        </w:rPr>
        <w:t>1998-I.</w:t>
      </w:r>
    </w:p>
  </w:footnote>
  <w:footnote w:id="17">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smartTag w:uri="urn:schemas-microsoft-com:office:smarttags" w:element="address">
        <w:r w:rsidRPr="003E063A">
          <w:rPr>
            <w:rFonts w:ascii="Goudy Old Style" w:eastAsia="華康仿宋體W4(P)" w:hAnsi="Goudy Old Style"/>
          </w:rPr>
          <w:t>Eur. Court HR</w:t>
        </w:r>
      </w:smartTag>
      <w:r w:rsidRPr="003E063A">
        <w:rPr>
          <w:rFonts w:ascii="Goudy Old Style" w:eastAsia="華康仿宋體W4(P)" w:hAnsi="Goudy Old Style"/>
        </w:rPr>
        <w:t xml:space="preserve">, Socialist Party and Others v. </w:t>
      </w:r>
      <w:smartTag w:uri="urn:schemas-microsoft-com:office:smarttags" w:element="country-region">
        <w:smartTag w:uri="urn:schemas-microsoft-com:office:smarttags" w:element="place">
          <w:r w:rsidRPr="003E063A">
            <w:rPr>
              <w:rFonts w:ascii="Goudy Old Style" w:eastAsia="華康仿宋體W4(P)" w:hAnsi="Goudy Old Style"/>
            </w:rPr>
            <w:t>Turkey</w:t>
          </w:r>
        </w:smartTag>
      </w:smartTag>
      <w:r w:rsidRPr="003E063A">
        <w:rPr>
          <w:rFonts w:ascii="Goudy Old Style" w:eastAsia="華康仿宋體W4(P)" w:hAnsi="Goudy Old Style"/>
        </w:rPr>
        <w:t xml:space="preserve">, Judgment of </w:t>
      </w:r>
      <w:smartTag w:uri="urn:schemas-microsoft-com:office:smarttags" w:element="date">
        <w:smartTagPr>
          <w:attr w:name="Month" w:val="5"/>
          <w:attr w:name="Day" w:val="25"/>
          <w:attr w:name="Year" w:val="1998"/>
        </w:smartTagPr>
        <w:r w:rsidRPr="003E063A">
          <w:rPr>
            <w:rFonts w:ascii="Goudy Old Style" w:eastAsia="華康仿宋體W4(P)" w:hAnsi="Goudy Old Style"/>
          </w:rPr>
          <w:t>25 May 1998</w:t>
        </w:r>
      </w:smartTag>
      <w:r w:rsidRPr="003E063A">
        <w:rPr>
          <w:rFonts w:ascii="Goudy Old Style" w:eastAsia="華康仿宋體W4(P)" w:hAnsi="Goudy Old Style"/>
        </w:rPr>
        <w:fldChar w:fldCharType="begin"/>
      </w:r>
      <w:r w:rsidRPr="003E063A">
        <w:rPr>
          <w:rFonts w:ascii="Goudy Old Style" w:eastAsia="華康仿宋體W4(P)" w:hAnsi="Goudy Old Style"/>
        </w:rPr>
        <w:instrText xml:space="preserve"> XE "Haes and Gijsels v. Belgium" </w:instrText>
      </w:r>
      <w:r w:rsidRPr="003E063A">
        <w:rPr>
          <w:rFonts w:ascii="Goudy Old Style" w:eastAsia="華康仿宋體W4(P)" w:hAnsi="Goudy Old Style"/>
        </w:rPr>
        <w:fldChar w:fldCharType="end"/>
      </w:r>
      <w:r w:rsidRPr="003E063A">
        <w:rPr>
          <w:rFonts w:ascii="Goudy Old Style" w:eastAsia="華康仿宋體W4(P)" w:hAnsi="Goudy Old Style"/>
        </w:rPr>
        <w:t xml:space="preserve">, </w:t>
      </w:r>
      <w:r w:rsidRPr="003E063A">
        <w:rPr>
          <w:rFonts w:ascii="Goudy Old Style" w:eastAsia="華康仿宋體W4(P)" w:hAnsi="Goudy Old Style"/>
          <w:i/>
        </w:rPr>
        <w:t>Reports of Judgments and Decisions</w:t>
      </w:r>
      <w:r w:rsidRPr="003E063A">
        <w:rPr>
          <w:rFonts w:ascii="Goudy Old Style" w:eastAsia="華康仿宋體W4(P)" w:hAnsi="Goudy Old Style"/>
        </w:rPr>
        <w:t xml:space="preserve"> 1998-III.</w:t>
      </w:r>
    </w:p>
  </w:footnote>
  <w:footnote w:id="18">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See </w:t>
      </w:r>
      <w:r w:rsidRPr="003E063A">
        <w:rPr>
          <w:rFonts w:ascii="Goudy Old Style" w:eastAsia="華康仿宋體W4(P)" w:hAnsi="Goudy Old Style"/>
          <w:i/>
        </w:rPr>
        <w:t>United Communist Party of Turkey and others v. Turkey</w:t>
      </w:r>
      <w:r w:rsidRPr="003E063A">
        <w:rPr>
          <w:rFonts w:ascii="Goudy Old Style" w:eastAsia="華康仿宋體W4(P)" w:hAnsi="Goudy Old Style"/>
        </w:rPr>
        <w:t>, above no. 53, paragraph 64 and</w:t>
      </w:r>
      <w:r w:rsidRPr="003E063A">
        <w:rPr>
          <w:rFonts w:ascii="Goudy Old Style" w:eastAsia="華康仿宋體W4(P)" w:hAnsi="Goudy Old Style"/>
          <w:i/>
        </w:rPr>
        <w:t xml:space="preserve"> Socialist Party and Others v. Turkey</w:t>
      </w:r>
      <w:r w:rsidRPr="003E063A">
        <w:rPr>
          <w:rFonts w:ascii="Goudy Old Style" w:eastAsia="華康仿宋體W4(P)" w:hAnsi="Goudy Old Style"/>
        </w:rPr>
        <w:t>, above no. 54, paragraph 57.</w:t>
      </w:r>
    </w:p>
  </w:footnote>
  <w:footnote w:id="19">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r w:rsidRPr="003E063A">
        <w:rPr>
          <w:rFonts w:ascii="Goudy Old Style" w:eastAsia="華康仿宋體W4(P)" w:hAnsi="Goudy Old Style"/>
        </w:rPr>
        <w:t>參見歐洲人權公約第</w:t>
      </w:r>
      <w:r w:rsidRPr="003E063A">
        <w:rPr>
          <w:rFonts w:ascii="Goudy Old Style" w:eastAsia="華康仿宋體W4(P)" w:hAnsi="Goudy Old Style"/>
        </w:rPr>
        <w:t>19</w:t>
      </w:r>
      <w:r w:rsidRPr="003E063A">
        <w:rPr>
          <w:rFonts w:ascii="Goudy Old Style" w:eastAsia="華康仿宋體W4(P)" w:hAnsi="Goudy Old Style"/>
        </w:rPr>
        <w:t>條。</w:t>
      </w:r>
    </w:p>
  </w:footnote>
  <w:footnote w:id="20">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See chart of signatures and ratification of the Protocol to the Convention for the Protection of Human Rights and Fundamental Freedoms, above no. 12.</w:t>
      </w:r>
    </w:p>
  </w:footnote>
  <w:footnote w:id="21">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r w:rsidRPr="003E063A">
        <w:rPr>
          <w:rFonts w:ascii="Goudy Old Style" w:eastAsia="華康仿宋體W4(P)" w:hAnsi="Goudy Old Style"/>
          <w:i/>
        </w:rPr>
        <w:t>Mathieu-</w:t>
      </w:r>
      <w:proofErr w:type="spellStart"/>
      <w:r w:rsidRPr="003E063A">
        <w:rPr>
          <w:rFonts w:ascii="Goudy Old Style" w:eastAsia="華康仿宋體W4(P)" w:hAnsi="Goudy Old Style"/>
          <w:i/>
        </w:rPr>
        <w:t>Mobin</w:t>
      </w:r>
      <w:proofErr w:type="spellEnd"/>
      <w:r w:rsidRPr="003E063A">
        <w:rPr>
          <w:rFonts w:ascii="Goudy Old Style" w:eastAsia="華康仿宋體W4(P)" w:hAnsi="Goudy Old Style"/>
          <w:i/>
        </w:rPr>
        <w:t xml:space="preserve"> and </w:t>
      </w:r>
      <w:proofErr w:type="spellStart"/>
      <w:r w:rsidRPr="003E063A">
        <w:rPr>
          <w:rFonts w:ascii="Goudy Old Style" w:eastAsia="華康仿宋體W4(P)" w:hAnsi="Goudy Old Style"/>
          <w:i/>
        </w:rPr>
        <w:t>Clerfayt</w:t>
      </w:r>
      <w:proofErr w:type="spellEnd"/>
      <w:r w:rsidRPr="003E063A">
        <w:rPr>
          <w:rFonts w:ascii="Goudy Old Style" w:eastAsia="華康仿宋體W4(P)" w:hAnsi="Goudy Old Style"/>
          <w:i/>
        </w:rPr>
        <w:t xml:space="preserve"> v. </w:t>
      </w:r>
      <w:smartTag w:uri="urn:schemas-microsoft-com:office:smarttags" w:element="country-region">
        <w:smartTag w:uri="urn:schemas-microsoft-com:office:smarttags" w:element="place">
          <w:r w:rsidRPr="003E063A">
            <w:rPr>
              <w:rFonts w:ascii="Goudy Old Style" w:eastAsia="華康仿宋體W4(P)" w:hAnsi="Goudy Old Style"/>
              <w:i/>
            </w:rPr>
            <w:t>Belgium</w:t>
          </w:r>
        </w:smartTag>
      </w:smartTag>
      <w:r w:rsidRPr="003E063A">
        <w:rPr>
          <w:rFonts w:ascii="Goudy Old Style" w:eastAsia="華康仿宋體W4(P)" w:hAnsi="Goudy Old Style"/>
        </w:rPr>
        <w:t>, above no. 15.</w:t>
      </w:r>
    </w:p>
  </w:footnote>
  <w:footnote w:id="22">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r w:rsidRPr="003E063A">
        <w:rPr>
          <w:rFonts w:ascii="Goudy Old Style" w:eastAsia="華康仿宋體W4(P)" w:hAnsi="Goudy Old Style"/>
          <w:i/>
        </w:rPr>
        <w:t>Ibid.</w:t>
      </w:r>
      <w:r w:rsidRPr="003E063A">
        <w:rPr>
          <w:rFonts w:ascii="Goudy Old Style" w:eastAsia="華康仿宋體W4(P)" w:hAnsi="Goudy Old Style"/>
        </w:rPr>
        <w:t>, paragraph 57.</w:t>
      </w:r>
    </w:p>
  </w:footnote>
  <w:footnote w:id="23">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smartTag w:uri="urn:schemas-microsoft-com:office:smarttags" w:element="address">
        <w:r w:rsidRPr="003E063A">
          <w:rPr>
            <w:rFonts w:ascii="Goudy Old Style" w:eastAsia="華康仿宋體W4(P)" w:hAnsi="Goudy Old Style"/>
          </w:rPr>
          <w:t>Eur. Court HR</w:t>
        </w:r>
      </w:smartTag>
      <w:r w:rsidRPr="003E063A">
        <w:rPr>
          <w:rFonts w:ascii="Goudy Old Style" w:eastAsia="華康仿宋體W4(P)" w:hAnsi="Goudy Old Style"/>
        </w:rPr>
        <w:t xml:space="preserve">, Martin McGuinness v. the </w:t>
      </w:r>
      <w:smartTag w:uri="urn:schemas-microsoft-com:office:smarttags" w:element="country-region">
        <w:smartTag w:uri="urn:schemas-microsoft-com:office:smarttags" w:element="place">
          <w:r w:rsidRPr="003E063A">
            <w:rPr>
              <w:rFonts w:ascii="Goudy Old Style" w:eastAsia="華康仿宋體W4(P)" w:hAnsi="Goudy Old Style"/>
            </w:rPr>
            <w:t>United Kingdom</w:t>
          </w:r>
        </w:smartTag>
      </w:smartTag>
      <w:r w:rsidRPr="003E063A">
        <w:rPr>
          <w:rFonts w:ascii="Goudy Old Style" w:eastAsia="華康仿宋體W4(P)" w:hAnsi="Goudy Old Style"/>
        </w:rPr>
        <w:t xml:space="preserve">, Decision of </w:t>
      </w:r>
      <w:smartTag w:uri="urn:schemas-microsoft-com:office:smarttags" w:element="date">
        <w:smartTagPr>
          <w:attr w:name="Month" w:val="6"/>
          <w:attr w:name="Day" w:val="8"/>
          <w:attr w:name="Year" w:val="1999"/>
        </w:smartTagPr>
        <w:r w:rsidRPr="003E063A">
          <w:rPr>
            <w:rFonts w:ascii="Goudy Old Style" w:eastAsia="華康仿宋體W4(P)" w:hAnsi="Goudy Old Style"/>
          </w:rPr>
          <w:t>8 June 1999</w:t>
        </w:r>
      </w:smartTag>
      <w:r w:rsidRPr="003E063A">
        <w:rPr>
          <w:rFonts w:ascii="Goudy Old Style" w:eastAsia="華康仿宋體W4(P)" w:hAnsi="Goudy Old Style"/>
        </w:rPr>
        <w:t xml:space="preserve">, </w:t>
      </w:r>
      <w:r w:rsidRPr="003E063A">
        <w:rPr>
          <w:rFonts w:ascii="Goudy Old Style" w:eastAsia="華康仿宋體W4(P)" w:hAnsi="Goudy Old Style"/>
          <w:i/>
        </w:rPr>
        <w:t>Reports of Judgments and Decisions</w:t>
      </w:r>
      <w:r w:rsidRPr="003E063A">
        <w:rPr>
          <w:rFonts w:ascii="Goudy Old Style" w:eastAsia="華康仿宋體W4(P)" w:hAnsi="Goudy Old Style"/>
        </w:rPr>
        <w:t xml:space="preserve"> 1999-</w:t>
      </w:r>
      <w:r w:rsidRPr="003E063A">
        <w:rPr>
          <w:rFonts w:ascii="新細明體" w:eastAsia="新細明體" w:hAnsi="新細明體" w:cs="新細明體" w:hint="eastAsia"/>
        </w:rPr>
        <w:t>Ⅱ</w:t>
      </w:r>
      <w:r w:rsidRPr="003E063A">
        <w:rPr>
          <w:rFonts w:ascii="Goudy Old Style" w:eastAsia="華康仿宋體W4(P)" w:hAnsi="Goudy Old Style"/>
        </w:rPr>
        <w:t>.</w:t>
      </w:r>
    </w:p>
  </w:footnote>
  <w:footnote w:id="24">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r w:rsidRPr="003E063A">
        <w:rPr>
          <w:rFonts w:ascii="Goudy Old Style" w:eastAsia="華康仿宋體W4(P)" w:hAnsi="Goudy Old Style"/>
        </w:rPr>
        <w:t>根據歐洲人權公約第</w:t>
      </w:r>
      <w:r w:rsidRPr="003E063A">
        <w:rPr>
          <w:rFonts w:ascii="Goudy Old Style" w:eastAsia="華康仿宋體W4(P)" w:hAnsi="Goudy Old Style"/>
        </w:rPr>
        <w:t>35</w:t>
      </w:r>
      <w:r w:rsidRPr="003E063A">
        <w:rPr>
          <w:rFonts w:ascii="Goudy Old Style" w:eastAsia="華康仿宋體W4(P)" w:hAnsi="Goudy Old Style"/>
        </w:rPr>
        <w:t>條第</w:t>
      </w:r>
      <w:r w:rsidRPr="003E063A">
        <w:rPr>
          <w:rFonts w:ascii="Goudy Old Style" w:eastAsia="華康仿宋體W4(P)" w:hAnsi="Goudy Old Style"/>
        </w:rPr>
        <w:t>3</w:t>
      </w:r>
      <w:r w:rsidRPr="003E063A">
        <w:rPr>
          <w:rFonts w:ascii="Goudy Old Style" w:eastAsia="華康仿宋體W4(P)" w:hAnsi="Goudy Old Style"/>
        </w:rPr>
        <w:t>項之規定，歐洲人權法院如認為個人申請案為「顯無理由」時，可駁回此申請案。</w:t>
      </w:r>
    </w:p>
  </w:footnote>
  <w:footnote w:id="25">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r w:rsidRPr="003E063A">
        <w:rPr>
          <w:rFonts w:ascii="Goudy Old Style" w:eastAsia="華康仿宋體W4(P)" w:hAnsi="Goudy Old Style"/>
          <w:i/>
        </w:rPr>
        <w:t>Ibid.</w:t>
      </w:r>
      <w:r w:rsidRPr="003E063A">
        <w:rPr>
          <w:rFonts w:ascii="Goudy Old Style" w:eastAsia="華康仿宋體W4(P)" w:hAnsi="Goudy Old Style"/>
        </w:rPr>
        <w:t>, paragraph 3.</w:t>
      </w:r>
    </w:p>
  </w:footnote>
  <w:footnote w:id="26">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r w:rsidRPr="003E063A">
        <w:rPr>
          <w:rFonts w:ascii="Goudy Old Style" w:eastAsia="華康仿宋體W4(P)" w:hAnsi="Goudy Old Style"/>
          <w:i/>
        </w:rPr>
        <w:t>Ibid.</w:t>
      </w:r>
    </w:p>
  </w:footnote>
  <w:footnote w:id="27">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smartTag w:uri="urn:schemas-microsoft-com:office:smarttags" w:element="address">
        <w:r w:rsidRPr="003E063A">
          <w:rPr>
            <w:rFonts w:ascii="Goudy Old Style" w:eastAsia="華康仿宋體W4(P)" w:hAnsi="Goudy Old Style"/>
          </w:rPr>
          <w:t>Eur. Court HR</w:t>
        </w:r>
      </w:smartTag>
      <w:r w:rsidRPr="003E063A">
        <w:rPr>
          <w:rFonts w:ascii="Goudy Old Style" w:eastAsia="華康仿宋體W4(P)" w:hAnsi="Goudy Old Style"/>
        </w:rPr>
        <w:t xml:space="preserve">, Bowman v. the </w:t>
      </w:r>
      <w:smartTag w:uri="urn:schemas-microsoft-com:office:smarttags" w:element="country-region">
        <w:smartTag w:uri="urn:schemas-microsoft-com:office:smarttags" w:element="place">
          <w:r w:rsidRPr="003E063A">
            <w:rPr>
              <w:rFonts w:ascii="Goudy Old Style" w:eastAsia="華康仿宋體W4(P)" w:hAnsi="Goudy Old Style"/>
            </w:rPr>
            <w:t>United Kingdom</w:t>
          </w:r>
        </w:smartTag>
      </w:smartTag>
      <w:r w:rsidRPr="003E063A">
        <w:rPr>
          <w:rFonts w:ascii="Goudy Old Style" w:eastAsia="華康仿宋體W4(P)" w:hAnsi="Goudy Old Style"/>
        </w:rPr>
        <w:t xml:space="preserve">, Judgment of </w:t>
      </w:r>
      <w:smartTag w:uri="urn:schemas-microsoft-com:office:smarttags" w:element="date">
        <w:smartTagPr>
          <w:attr w:name="Month" w:val="2"/>
          <w:attr w:name="Day" w:val="19"/>
          <w:attr w:name="Year" w:val="1998"/>
        </w:smartTagPr>
        <w:r w:rsidRPr="003E063A">
          <w:rPr>
            <w:rFonts w:ascii="Goudy Old Style" w:eastAsia="華康仿宋體W4(P)" w:hAnsi="Goudy Old Style"/>
          </w:rPr>
          <w:t>19 February 1998</w:t>
        </w:r>
      </w:smartTag>
      <w:r w:rsidRPr="003E063A">
        <w:rPr>
          <w:rFonts w:ascii="Goudy Old Style" w:eastAsia="華康仿宋體W4(P)" w:hAnsi="Goudy Old Style"/>
        </w:rPr>
        <w:t>,</w:t>
      </w:r>
      <w:r w:rsidRPr="003E063A">
        <w:rPr>
          <w:rFonts w:ascii="Goudy Old Style" w:eastAsia="華康仿宋體W4(P)" w:hAnsi="Goudy Old Style"/>
          <w:i/>
        </w:rPr>
        <w:t xml:space="preserve"> Reports of Judgments and Decisions </w:t>
      </w:r>
      <w:r w:rsidRPr="003E063A">
        <w:rPr>
          <w:rFonts w:ascii="Goudy Old Style" w:eastAsia="華康仿宋體W4(P)" w:hAnsi="Goudy Old Style"/>
        </w:rPr>
        <w:t>1998-I.</w:t>
      </w:r>
    </w:p>
  </w:footnote>
  <w:footnote w:id="28">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r w:rsidRPr="003E063A">
        <w:rPr>
          <w:rFonts w:ascii="Goudy Old Style" w:eastAsia="華康仿宋體W4(P)" w:hAnsi="Goudy Old Style"/>
          <w:i/>
        </w:rPr>
        <w:t>Ibid.</w:t>
      </w:r>
      <w:r w:rsidRPr="003E063A">
        <w:rPr>
          <w:rFonts w:ascii="Goudy Old Style" w:eastAsia="華康仿宋體W4(P)" w:hAnsi="Goudy Old Style"/>
        </w:rPr>
        <w:t>, paragraph 42.</w:t>
      </w:r>
    </w:p>
  </w:footnote>
  <w:footnote w:id="29">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r w:rsidRPr="003E063A">
        <w:rPr>
          <w:rFonts w:ascii="Goudy Old Style" w:eastAsia="華康仿宋體W4(P)" w:hAnsi="Goudy Old Style"/>
          <w:i/>
        </w:rPr>
        <w:t>Ibid.</w:t>
      </w:r>
      <w:r w:rsidRPr="003E063A">
        <w:rPr>
          <w:rFonts w:ascii="Goudy Old Style" w:eastAsia="華康仿宋體W4(P)" w:hAnsi="Goudy Old Style"/>
        </w:rPr>
        <w:t>, paragraph 43.</w:t>
      </w:r>
    </w:p>
  </w:footnote>
  <w:footnote w:id="30">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r w:rsidRPr="003E063A">
        <w:rPr>
          <w:rFonts w:ascii="Goudy Old Style" w:eastAsia="華康仿宋體W4(P)" w:hAnsi="Goudy Old Style"/>
          <w:i/>
        </w:rPr>
        <w:t>Ibid.</w:t>
      </w:r>
      <w:r w:rsidRPr="003E063A">
        <w:rPr>
          <w:rFonts w:ascii="Goudy Old Style" w:eastAsia="華康仿宋體W4(P)" w:hAnsi="Goudy Old Style"/>
        </w:rPr>
        <w:t>, paragraphs 45-47.</w:t>
      </w:r>
    </w:p>
  </w:footnote>
  <w:footnote w:id="31">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See </w:t>
      </w:r>
      <w:proofErr w:type="spellStart"/>
      <w:r w:rsidRPr="003E063A">
        <w:rPr>
          <w:rFonts w:ascii="Goudy Old Style" w:eastAsia="華康仿宋體W4(P)" w:hAnsi="Goudy Old Style"/>
        </w:rPr>
        <w:t>Navraj</w:t>
      </w:r>
      <w:proofErr w:type="spellEnd"/>
      <w:r w:rsidRPr="003E063A">
        <w:rPr>
          <w:rFonts w:ascii="Goudy Old Style" w:eastAsia="華康仿宋體W4(P)" w:hAnsi="Goudy Old Style"/>
        </w:rPr>
        <w:t xml:space="preserve"> Singh </w:t>
      </w:r>
      <w:proofErr w:type="spellStart"/>
      <w:r w:rsidRPr="003E063A">
        <w:rPr>
          <w:rFonts w:ascii="Goudy Old Style" w:eastAsia="華康仿宋體W4(P)" w:hAnsi="Goudy Old Style"/>
        </w:rPr>
        <w:t>Ghaleigh</w:t>
      </w:r>
      <w:proofErr w:type="spellEnd"/>
      <w:r w:rsidRPr="003E063A">
        <w:rPr>
          <w:rFonts w:ascii="Goudy Old Style" w:eastAsia="華康仿宋體W4(P)" w:hAnsi="Goudy Old Style"/>
        </w:rPr>
        <w:t xml:space="preserve">, “Election Spending and Freedom of Expression”, </w:t>
      </w:r>
      <w:smartTag w:uri="urn:schemas-microsoft-com:office:smarttags" w:element="City">
        <w:smartTag w:uri="urn:schemas-microsoft-com:office:smarttags" w:element="place">
          <w:r w:rsidRPr="003E063A">
            <w:rPr>
              <w:rFonts w:ascii="Goudy Old Style" w:eastAsia="華康仿宋體W4(P)" w:hAnsi="Goudy Old Style"/>
              <w:i/>
            </w:rPr>
            <w:t>Cambridge</w:t>
          </w:r>
        </w:smartTag>
      </w:smartTag>
      <w:r w:rsidRPr="003E063A">
        <w:rPr>
          <w:rFonts w:ascii="Goudy Old Style" w:eastAsia="華康仿宋體W4(P)" w:hAnsi="Goudy Old Style"/>
          <w:i/>
        </w:rPr>
        <w:t xml:space="preserve"> Law Journal</w:t>
      </w:r>
      <w:r w:rsidRPr="003E063A">
        <w:rPr>
          <w:rFonts w:ascii="Goudy Old Style" w:eastAsia="華康仿宋體W4(P)" w:hAnsi="Goudy Old Style"/>
        </w:rPr>
        <w:t>, vol. 57 no. 3, p. 433.</w:t>
      </w:r>
    </w:p>
  </w:footnote>
  <w:footnote w:id="32">
    <w:p w:rsidR="00674BA4" w:rsidRPr="003E063A" w:rsidRDefault="00674BA4" w:rsidP="00674BA4">
      <w:pPr>
        <w:pStyle w:val="a3"/>
        <w:rPr>
          <w:rFonts w:ascii="Goudy Old Style" w:eastAsia="華康仿宋體W4(P)" w:hAnsi="Goudy Old Style"/>
        </w:rPr>
      </w:pPr>
      <w:r w:rsidRPr="003E063A">
        <w:rPr>
          <w:rStyle w:val="a5"/>
          <w:rFonts w:ascii="Goudy Old Style" w:eastAsia="華康仿宋體W4(P)" w:hAnsi="Goudy Old Style"/>
        </w:rPr>
        <w:footnoteRef/>
      </w:r>
      <w:r w:rsidRPr="003E063A">
        <w:rPr>
          <w:rFonts w:ascii="Goudy Old Style" w:eastAsia="華康仿宋體W4(P)" w:hAnsi="Goudy Old Style"/>
        </w:rPr>
        <w:t xml:space="preserve"> </w:t>
      </w:r>
      <w:r w:rsidRPr="003E063A">
        <w:rPr>
          <w:rFonts w:ascii="Goudy Old Style" w:eastAsia="華康仿宋體W4(P)" w:hAnsi="Goudy Old Style"/>
        </w:rPr>
        <w:t>本案之進一步討論請參閱，</w:t>
      </w:r>
      <w:proofErr w:type="spellStart"/>
      <w:r w:rsidRPr="003E063A">
        <w:rPr>
          <w:rFonts w:ascii="Goudy Old Style" w:eastAsia="華康仿宋體W4(P)" w:hAnsi="Goudy Old Style"/>
        </w:rPr>
        <w:t>Magali</w:t>
      </w:r>
      <w:proofErr w:type="spellEnd"/>
      <w:r w:rsidRPr="003E063A">
        <w:rPr>
          <w:rFonts w:ascii="Goudy Old Style" w:eastAsia="華康仿宋體W4(P)" w:hAnsi="Goudy Old Style"/>
        </w:rPr>
        <w:t xml:space="preserve"> </w:t>
      </w:r>
      <w:proofErr w:type="spellStart"/>
      <w:r w:rsidRPr="003E063A">
        <w:rPr>
          <w:rFonts w:ascii="Goudy Old Style" w:eastAsia="華康仿宋體W4(P)" w:hAnsi="Goudy Old Style"/>
        </w:rPr>
        <w:t>Veneau</w:t>
      </w:r>
      <w:proofErr w:type="spellEnd"/>
      <w:r w:rsidRPr="003E063A">
        <w:rPr>
          <w:rFonts w:ascii="Goudy Old Style" w:eastAsia="華康仿宋體W4(P)" w:hAnsi="Goudy Old Style"/>
        </w:rPr>
        <w:t xml:space="preserve">, “Restoring the Campaigner’s Voice: Free Elections and Freedom of Speech”, </w:t>
      </w:r>
      <w:r w:rsidRPr="003E063A">
        <w:rPr>
          <w:rFonts w:ascii="Goudy Old Style" w:eastAsia="華康仿宋體W4(P)" w:hAnsi="Goudy Old Style"/>
          <w:i/>
        </w:rPr>
        <w:t>European Law Review</w:t>
      </w:r>
      <w:r w:rsidRPr="003E063A">
        <w:rPr>
          <w:rFonts w:ascii="Goudy Old Style" w:eastAsia="華康仿宋體W4(P)" w:hAnsi="Goudy Old Style"/>
        </w:rPr>
        <w:t>, vol. 23 no. 6,</w:t>
      </w:r>
      <w:r w:rsidRPr="003E063A">
        <w:rPr>
          <w:rFonts w:ascii="Goudy Old Style" w:eastAsia="華康仿宋體W4(P)" w:hAnsi="Goudy Old Style"/>
          <w:color w:val="FF0000"/>
        </w:rPr>
        <w:t xml:space="preserve"> </w:t>
      </w:r>
      <w:r w:rsidRPr="003E063A">
        <w:rPr>
          <w:rFonts w:ascii="Goudy Old Style" w:eastAsia="華康仿宋體W4(P)" w:hAnsi="Goudy Old Style"/>
        </w:rPr>
        <w:t>pp. 598-605.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BA4"/>
    <w:rsid w:val="00027980"/>
    <w:rsid w:val="00097A09"/>
    <w:rsid w:val="000D0299"/>
    <w:rsid w:val="000E2124"/>
    <w:rsid w:val="003E063A"/>
    <w:rsid w:val="00674BA4"/>
    <w:rsid w:val="007657F4"/>
    <w:rsid w:val="00871EC6"/>
    <w:rsid w:val="00C327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date"/>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791D3C4-7448-4169-9AB0-17C85D5E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74BA4"/>
    <w:pPr>
      <w:snapToGrid w:val="0"/>
    </w:pPr>
    <w:rPr>
      <w:sz w:val="20"/>
      <w:szCs w:val="20"/>
    </w:rPr>
  </w:style>
  <w:style w:type="character" w:customStyle="1" w:styleId="a4">
    <w:name w:val="註腳文字 字元"/>
    <w:basedOn w:val="a0"/>
    <w:link w:val="a3"/>
    <w:uiPriority w:val="99"/>
    <w:semiHidden/>
    <w:rsid w:val="00674BA4"/>
    <w:rPr>
      <w:sz w:val="20"/>
      <w:szCs w:val="20"/>
    </w:rPr>
  </w:style>
  <w:style w:type="character" w:styleId="a5">
    <w:name w:val="footnote reference"/>
    <w:semiHidden/>
    <w:rsid w:val="00674BA4"/>
    <w:rPr>
      <w:vertAlign w:val="superscript"/>
    </w:rPr>
  </w:style>
  <w:style w:type="paragraph" w:styleId="a6">
    <w:name w:val="header"/>
    <w:basedOn w:val="a"/>
    <w:link w:val="a7"/>
    <w:uiPriority w:val="99"/>
    <w:unhideWhenUsed/>
    <w:rsid w:val="00097A09"/>
    <w:pPr>
      <w:tabs>
        <w:tab w:val="center" w:pos="4153"/>
        <w:tab w:val="right" w:pos="8306"/>
      </w:tabs>
      <w:snapToGrid w:val="0"/>
    </w:pPr>
    <w:rPr>
      <w:sz w:val="20"/>
      <w:szCs w:val="20"/>
    </w:rPr>
  </w:style>
  <w:style w:type="character" w:customStyle="1" w:styleId="a7">
    <w:name w:val="頁首 字元"/>
    <w:basedOn w:val="a0"/>
    <w:link w:val="a6"/>
    <w:uiPriority w:val="99"/>
    <w:rsid w:val="00097A09"/>
    <w:rPr>
      <w:sz w:val="20"/>
      <w:szCs w:val="20"/>
    </w:rPr>
  </w:style>
  <w:style w:type="paragraph" w:styleId="a8">
    <w:name w:val="footer"/>
    <w:basedOn w:val="a"/>
    <w:link w:val="a9"/>
    <w:uiPriority w:val="99"/>
    <w:unhideWhenUsed/>
    <w:rsid w:val="00097A09"/>
    <w:pPr>
      <w:tabs>
        <w:tab w:val="center" w:pos="4153"/>
        <w:tab w:val="right" w:pos="8306"/>
      </w:tabs>
      <w:snapToGrid w:val="0"/>
    </w:pPr>
    <w:rPr>
      <w:sz w:val="20"/>
      <w:szCs w:val="20"/>
    </w:rPr>
  </w:style>
  <w:style w:type="character" w:customStyle="1" w:styleId="a9">
    <w:name w:val="頁尾 字元"/>
    <w:basedOn w:val="a0"/>
    <w:link w:val="a8"/>
    <w:uiPriority w:val="99"/>
    <w:rsid w:val="00097A0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9603A-8244-47F3-9794-44995A7A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1268</Words>
  <Characters>7230</Characters>
  <Application>Microsoft Office Word</Application>
  <DocSecurity>0</DocSecurity>
  <Lines>60</Lines>
  <Paragraphs>16</Paragraphs>
  <ScaleCrop>false</ScaleCrop>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ftliao</dc:creator>
  <cp:keywords/>
  <dc:description/>
  <cp:lastModifiedBy>kedi</cp:lastModifiedBy>
  <cp:revision>6</cp:revision>
  <dcterms:created xsi:type="dcterms:W3CDTF">2020-06-15T08:50:00Z</dcterms:created>
  <dcterms:modified xsi:type="dcterms:W3CDTF">2025-07-23T01:50:00Z</dcterms:modified>
</cp:coreProperties>
</file>